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bottom w:val="single" w:sz="4" w:space="0" w:color="auto"/>
        </w:tblBorders>
        <w:tblLayout w:type="fixed"/>
        <w:tblCellMar>
          <w:bottom w:w="142" w:type="dxa"/>
        </w:tblCellMar>
        <w:tblLook w:val="0000"/>
      </w:tblPr>
      <w:tblGrid>
        <w:gridCol w:w="993"/>
        <w:gridCol w:w="9355"/>
      </w:tblGrid>
      <w:tr w:rsidR="004A5D5E" w:rsidRPr="00ED3C77">
        <w:trPr>
          <w:trHeight w:val="1881"/>
        </w:trPr>
        <w:tc>
          <w:tcPr>
            <w:tcW w:w="993" w:type="dxa"/>
            <w:tcBorders>
              <w:bottom w:val="single" w:sz="4" w:space="0" w:color="auto"/>
            </w:tcBorders>
            <w:vAlign w:val="center"/>
          </w:tcPr>
          <w:p w:rsidR="004A5D5E" w:rsidRPr="00ED3C77" w:rsidRDefault="004A5D5E" w:rsidP="00E33755">
            <w:pPr>
              <w:jc w:val="center"/>
              <w:rPr>
                <w:b/>
                <w:bCs/>
              </w:rPr>
            </w:pPr>
            <w:bookmarkStart w:id="0" w:name="_Toc326767645"/>
            <w:bookmarkStart w:id="1" w:name="_Toc326767647"/>
            <w:r w:rsidRPr="008F7E7A">
              <w:rPr>
                <w:b/>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5pt;height:90.6pt;visibility:visible">
                  <v:imagedata r:id="rId7" o:title=""/>
                </v:shape>
              </w:pict>
            </w:r>
          </w:p>
        </w:tc>
        <w:tc>
          <w:tcPr>
            <w:tcW w:w="9355" w:type="dxa"/>
            <w:tcBorders>
              <w:bottom w:val="single" w:sz="4" w:space="0" w:color="auto"/>
            </w:tcBorders>
            <w:vAlign w:val="center"/>
          </w:tcPr>
          <w:p w:rsidR="004A5D5E" w:rsidRPr="00ED3C77" w:rsidRDefault="004A5D5E" w:rsidP="009D25EC">
            <w:pPr>
              <w:spacing w:after="120"/>
              <w:jc w:val="center"/>
              <w:rPr>
                <w:b/>
                <w:bCs/>
                <w:color w:val="3487C8"/>
                <w:sz w:val="22"/>
                <w:szCs w:val="22"/>
              </w:rPr>
            </w:pPr>
            <w:r w:rsidRPr="00ED3C77">
              <w:rPr>
                <w:b/>
                <w:bCs/>
                <w:color w:val="3487C8"/>
                <w:sz w:val="22"/>
                <w:szCs w:val="22"/>
              </w:rPr>
              <w:t>Emerging Security Challenges Division</w:t>
            </w:r>
          </w:p>
          <w:p w:rsidR="004A5D5E" w:rsidRPr="00ED3C77" w:rsidRDefault="004A5D5E" w:rsidP="009D25EC">
            <w:pPr>
              <w:spacing w:after="200"/>
              <w:jc w:val="center"/>
              <w:rPr>
                <w:b/>
                <w:bCs/>
                <w:color w:val="3487C8"/>
                <w:sz w:val="28"/>
                <w:szCs w:val="28"/>
              </w:rPr>
            </w:pPr>
            <w:r w:rsidRPr="00ED3C77">
              <w:rPr>
                <w:b/>
                <w:bCs/>
                <w:color w:val="3487C8"/>
                <w:sz w:val="28"/>
                <w:szCs w:val="28"/>
              </w:rPr>
              <w:t>Science for Peace and Security Programme</w:t>
            </w:r>
          </w:p>
          <w:p w:rsidR="004A5D5E" w:rsidRPr="00F07247" w:rsidRDefault="004A5D5E" w:rsidP="009D25EC">
            <w:pPr>
              <w:spacing w:after="200"/>
              <w:jc w:val="center"/>
              <w:rPr>
                <w:rFonts w:ascii="Arial" w:hAnsi="Arial" w:cs="Arial"/>
                <w:b/>
                <w:bCs/>
                <w:color w:val="00408B"/>
                <w:sz w:val="32"/>
                <w:szCs w:val="32"/>
              </w:rPr>
            </w:pPr>
            <w:r w:rsidRPr="00F07247">
              <w:rPr>
                <w:rFonts w:ascii="Arial" w:hAnsi="Arial" w:cs="Arial"/>
                <w:b/>
                <w:bCs/>
                <w:color w:val="00408B"/>
                <w:sz w:val="32"/>
                <w:szCs w:val="32"/>
              </w:rPr>
              <w:t xml:space="preserve">Guidelines for </w:t>
            </w:r>
            <w:r>
              <w:rPr>
                <w:rFonts w:ascii="Arial" w:hAnsi="Arial" w:cs="Arial"/>
                <w:b/>
                <w:bCs/>
                <w:color w:val="00408B"/>
                <w:sz w:val="32"/>
                <w:szCs w:val="32"/>
              </w:rPr>
              <w:t>Applicants: Advanced Research Workshop</w:t>
            </w:r>
          </w:p>
          <w:p w:rsidR="004A5D5E" w:rsidRPr="00ED3C77" w:rsidRDefault="004A5D5E" w:rsidP="009D25EC">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4A5D5E" w:rsidRPr="00ED3C77" w:rsidRDefault="004A5D5E" w:rsidP="00234914">
      <w:pPr>
        <w:pStyle w:val="Heading1"/>
      </w:pPr>
      <w:r w:rsidRPr="00ED3C77">
        <w:t>Introduction</w:t>
      </w:r>
      <w:bookmarkEnd w:id="0"/>
    </w:p>
    <w:p w:rsidR="004A5D5E" w:rsidRDefault="004A5D5E" w:rsidP="0058543C">
      <w:pPr>
        <w:pStyle w:val="Body"/>
      </w:pPr>
      <w:r w:rsidRPr="00ED3C77">
        <w:t xml:space="preserve">The NATO Science for Peace and Security Programme (SPS) seeks to enhance cooperation and dialogue with all partners through civil science and innovation. The SPS Programme offers grants for </w:t>
      </w:r>
      <w:r>
        <w:t xml:space="preserve">Advanced Research Workshops (ARWs) which contribute to the assessment of existing knowledge on important topics in security-related civil science and technology and serve to build networks among scientists from </w:t>
      </w:r>
      <w:hyperlink w:anchor="Annex3EligibleCountries" w:history="1">
        <w:r w:rsidRPr="00737A29">
          <w:rPr>
            <w:rStyle w:val="Hyperlink"/>
            <w:rFonts w:cs="Arial"/>
          </w:rPr>
          <w:t xml:space="preserve">NATO and its </w:t>
        </w:r>
        <w:r>
          <w:rPr>
            <w:rStyle w:val="Hyperlink"/>
            <w:rFonts w:cs="Arial"/>
          </w:rPr>
          <w:t>Partner</w:t>
        </w:r>
        <w:r w:rsidRPr="00737A29">
          <w:rPr>
            <w:rStyle w:val="Hyperlink"/>
            <w:rFonts w:cs="Arial"/>
          </w:rPr>
          <w:t xml:space="preserve"> countries</w:t>
        </w:r>
      </w:hyperlink>
      <w:r>
        <w:t>.</w:t>
      </w:r>
    </w:p>
    <w:p w:rsidR="004A5D5E" w:rsidRPr="00ED3C77" w:rsidRDefault="004A5D5E" w:rsidP="002B0084">
      <w:pPr>
        <w:pStyle w:val="Body"/>
      </w:pPr>
      <w:r>
        <w:t xml:space="preserve">A NATO ARW is a two to three day meeting that in general engages between 20 and 50 participants, providing a forum for advanced-level, intensive discussions among qualified experienced scientists from NATO countries and Partner countries. Grants are available for organizing ARWs only in the </w:t>
      </w:r>
      <w:hyperlink w:anchor="Annex1KeyPriorities" w:history="1">
        <w:r w:rsidRPr="00737A29">
          <w:rPr>
            <w:rStyle w:val="Hyperlink"/>
            <w:rFonts w:cs="Arial"/>
          </w:rPr>
          <w:t>SPS Key Priority areas</w:t>
        </w:r>
      </w:hyperlink>
      <w:r>
        <w:t>.</w:t>
      </w:r>
    </w:p>
    <w:p w:rsidR="004A5D5E" w:rsidRPr="00ED3C77" w:rsidRDefault="004A5D5E" w:rsidP="0058543C">
      <w:pPr>
        <w:pStyle w:val="Body"/>
      </w:pPr>
      <w:r w:rsidRPr="00ED3C77">
        <w:t xml:space="preserve">This document provides guidelines for applicants seeking SPS sponsorship of </w:t>
      </w:r>
      <w:r>
        <w:t>ARWs</w:t>
      </w:r>
      <w:r w:rsidRPr="00ED3C77">
        <w:t xml:space="preserve"> including details of the application process, the criteria by which applications are judged, and </w:t>
      </w:r>
      <w:r>
        <w:t>application forms</w:t>
      </w:r>
      <w:r w:rsidRPr="00ED3C77">
        <w:t xml:space="preserve">. </w:t>
      </w:r>
    </w:p>
    <w:p w:rsidR="004A5D5E" w:rsidRPr="00ED3C77" w:rsidRDefault="004A5D5E" w:rsidP="0058543C">
      <w:pPr>
        <w:pStyle w:val="Body"/>
      </w:pPr>
      <w:r w:rsidRPr="00ED3C77">
        <w:t xml:space="preserve">These Guidelines are also available on the NATO website: </w:t>
      </w:r>
      <w:hyperlink r:id="rId8" w:history="1">
        <w:r w:rsidRPr="000774D8">
          <w:rPr>
            <w:rStyle w:val="Hyperlink"/>
            <w:rFonts w:cs="Arial"/>
          </w:rPr>
          <w:t>www.nato.int/science</w:t>
        </w:r>
      </w:hyperlink>
      <w:r>
        <w:t xml:space="preserve"> along with separate guidelines for SPS Project, Advanced Study Institute, and Advanced Training Course grant applicants</w:t>
      </w:r>
      <w:r w:rsidRPr="00ED3C77">
        <w:t>.</w:t>
      </w:r>
    </w:p>
    <w:p w:rsidR="004A5D5E" w:rsidRPr="00ED3C77" w:rsidRDefault="004A5D5E" w:rsidP="00234914">
      <w:pPr>
        <w:pStyle w:val="Heading1"/>
      </w:pPr>
      <w:bookmarkStart w:id="2" w:name="_Toc326767646"/>
      <w:r w:rsidRPr="00ED3C77">
        <w:t>Who Can Apply?</w:t>
      </w:r>
      <w:bookmarkEnd w:id="2"/>
    </w:p>
    <w:p w:rsidR="004A5D5E" w:rsidRDefault="004A5D5E" w:rsidP="00A60A77">
      <w:pPr>
        <w:pStyle w:val="Body"/>
      </w:pPr>
      <w:r w:rsidRPr="00ED3C77">
        <w:t xml:space="preserve">Applications must be submitted jointly by </w:t>
      </w:r>
      <w:r>
        <w:t>an organizer</w:t>
      </w:r>
      <w:r w:rsidRPr="00ED3C77">
        <w:t xml:space="preserve"> residing and working in a </w:t>
      </w:r>
      <w:hyperlink w:anchor="Annex3EligibleCountries" w:history="1">
        <w:r w:rsidRPr="00A60A77">
          <w:rPr>
            <w:rStyle w:val="Hyperlink"/>
            <w:rFonts w:cs="Arial"/>
          </w:rPr>
          <w:t xml:space="preserve">NATO country </w:t>
        </w:r>
      </w:hyperlink>
      <w:r w:rsidRPr="00ED3C77">
        <w:t xml:space="preserve">and one residing and working in a </w:t>
      </w:r>
      <w:hyperlink w:anchor="Annex3EligibleCountries" w:history="1">
        <w:r>
          <w:rPr>
            <w:rStyle w:val="Hyperlink"/>
            <w:rFonts w:cs="Arial"/>
          </w:rPr>
          <w:t>Partner</w:t>
        </w:r>
        <w:r w:rsidRPr="00A60A77">
          <w:rPr>
            <w:rStyle w:val="Hyperlink"/>
            <w:rFonts w:cs="Arial"/>
          </w:rPr>
          <w:t xml:space="preserve"> country</w:t>
        </w:r>
      </w:hyperlink>
      <w:r w:rsidRPr="00ED3C77">
        <w:t xml:space="preserve">. </w:t>
      </w:r>
      <w:r w:rsidRPr="00DC4E6D">
        <w:t>Individuals from for-profit private companies are not eligible.</w:t>
      </w:r>
      <w:r>
        <w:t xml:space="preserve"> Both must be fully involved in workshop organization and the selection of participants. These Co-Directors prepare the scientific programme, select participants, organize workshop practicalities, administer the NATO funds, and report to NATO. The Co-Directors should be assisted by a small Organizing Committee of scientists from at least three different countries, who are selected from amongst the Speakers. The Organizing Committee should also include at least one scientist located near the ARW site.</w:t>
      </w:r>
    </w:p>
    <w:p w:rsidR="004A5D5E" w:rsidRPr="00ED3C77" w:rsidRDefault="004A5D5E" w:rsidP="00A60A77">
      <w:pPr>
        <w:pStyle w:val="Body"/>
      </w:pPr>
      <w:r w:rsidRPr="00341BD2">
        <w:t xml:space="preserve">Applicants should note that they cannot have </w:t>
      </w:r>
      <w:r>
        <w:t>more than one</w:t>
      </w:r>
      <w:r w:rsidRPr="00341BD2">
        <w:t xml:space="preserve"> SPS </w:t>
      </w:r>
      <w:r>
        <w:t>activity running simultaneously. P</w:t>
      </w:r>
      <w:r w:rsidRPr="00341BD2">
        <w:t xml:space="preserve">rospective Co-Directors should ensure that </w:t>
      </w:r>
      <w:r>
        <w:t>the</w:t>
      </w:r>
      <w:r w:rsidRPr="00341BD2">
        <w:t xml:space="preserve"> file on any previous SPS activity directed by either of them is closed before applying to direct another.</w:t>
      </w:r>
    </w:p>
    <w:p w:rsidR="004A5D5E" w:rsidRDefault="004A5D5E" w:rsidP="000A557F">
      <w:pPr>
        <w:pStyle w:val="Heading1"/>
      </w:pPr>
      <w:r>
        <w:t>Location</w:t>
      </w:r>
    </w:p>
    <w:p w:rsidR="004A5D5E" w:rsidRDefault="004A5D5E" w:rsidP="000A557F">
      <w:pPr>
        <w:pStyle w:val="Body"/>
      </w:pPr>
      <w:r>
        <w:t xml:space="preserve">An ARW should preferably be held in a </w:t>
      </w:r>
      <w:hyperlink w:anchor="Annex3EligibleCountries" w:history="1">
        <w:r>
          <w:rPr>
            <w:rStyle w:val="Hyperlink"/>
            <w:rFonts w:cs="Arial"/>
          </w:rPr>
          <w:t>Partner</w:t>
        </w:r>
        <w:r w:rsidRPr="000A557F">
          <w:rPr>
            <w:rStyle w:val="Hyperlink"/>
            <w:rFonts w:cs="Arial"/>
          </w:rPr>
          <w:t xml:space="preserve"> country</w:t>
        </w:r>
      </w:hyperlink>
    </w:p>
    <w:p w:rsidR="004A5D5E" w:rsidRPr="00ED3C77" w:rsidRDefault="004A5D5E" w:rsidP="000A557F">
      <w:pPr>
        <w:pStyle w:val="Heading1"/>
      </w:pPr>
      <w:r>
        <w:t>Participation</w:t>
      </w:r>
    </w:p>
    <w:p w:rsidR="004A5D5E" w:rsidRDefault="004A5D5E" w:rsidP="000A557F">
      <w:pPr>
        <w:pStyle w:val="Body"/>
      </w:pPr>
      <w:r>
        <w:t xml:space="preserve">Participation in an ARW is at the discretion of the Co-Directors and at their invitation; some space should be kept available for particularly well-qualified scientists who apply to the Co-Directors for attendance. Participants should be invited by the Co-Directors for their ability to contribute to the topic of the meeting and to achieve the appropriate blend of expertise and variety of viewpoints to stimulate discussion and promote the exchange of ideas. </w:t>
      </w:r>
    </w:p>
    <w:p w:rsidR="004A5D5E" w:rsidRDefault="004A5D5E" w:rsidP="000A557F">
      <w:pPr>
        <w:pStyle w:val="Body"/>
      </w:pPr>
      <w:r>
        <w:t xml:space="preserve">Attendance should be balanced between participants from NATO countries and those from Partner countries. Applicants are encouraged to include attendees from a wide variety of Partner countries; no single country should contribute more than 25% of the attendees .In order to augment the available expertise, outstanding Speakers from other countries (i.e. neither NATO nor Partner) may be considered for participation, but they should be specifically noted in the application and their participation must have the prior approval of NATO. </w:t>
      </w:r>
      <w:r w:rsidRPr="00B25DB2">
        <w:t>Non-Speakers from any other countries are not permitted to attend.</w:t>
      </w:r>
      <w:r>
        <w:t xml:space="preserve"> </w:t>
      </w:r>
    </w:p>
    <w:p w:rsidR="004A5D5E" w:rsidRDefault="004A5D5E" w:rsidP="000A557F">
      <w:pPr>
        <w:pStyle w:val="Body"/>
      </w:pPr>
      <w:r>
        <w:t>Prospective Speakers should be contacted in the course of preparing the application, and their degree of commitment to speaking noted. Applications with low Speaker commitment stand a reduced chance of being awarded.</w:t>
      </w:r>
    </w:p>
    <w:p w:rsidR="004A5D5E" w:rsidRPr="00ED3C77" w:rsidRDefault="004A5D5E" w:rsidP="00BD2A50">
      <w:pPr>
        <w:pStyle w:val="Heading1"/>
        <w:jc w:val="both"/>
      </w:pPr>
      <w:bookmarkStart w:id="3" w:name="Funding"/>
      <w:bookmarkEnd w:id="3"/>
      <w:r>
        <w:t>Funding</w:t>
      </w:r>
    </w:p>
    <w:p w:rsidR="004A5D5E" w:rsidRDefault="004A5D5E" w:rsidP="00BD2A50">
      <w:pPr>
        <w:pStyle w:val="Body"/>
      </w:pPr>
      <w:r>
        <w:t xml:space="preserve">The NATO grant pays for direct organizational expenses of the ARW as well as the travel and living expenses of Speakers, and to subsidize the attendance of Non-Speakers from </w:t>
      </w:r>
      <w:hyperlink w:anchor="Annex3EligibleCountries" w:history="1">
        <w:r w:rsidRPr="00BD2A50">
          <w:rPr>
            <w:rStyle w:val="Hyperlink"/>
            <w:rFonts w:cs="Arial"/>
          </w:rPr>
          <w:t xml:space="preserve">NATO countries </w:t>
        </w:r>
      </w:hyperlink>
      <w:r>
        <w:t xml:space="preserve">and from </w:t>
      </w:r>
      <w:hyperlink w:anchor="Annex3EligibleCountries" w:history="1">
        <w:r>
          <w:rPr>
            <w:rStyle w:val="Hyperlink"/>
            <w:rFonts w:cs="Arial"/>
          </w:rPr>
          <w:t>P</w:t>
        </w:r>
        <w:r w:rsidRPr="00BD2A50">
          <w:rPr>
            <w:rStyle w:val="Hyperlink"/>
            <w:rFonts w:cs="Arial"/>
          </w:rPr>
          <w:t>artner countrie</w:t>
        </w:r>
        <w:r>
          <w:rPr>
            <w:rStyle w:val="Hyperlink"/>
            <w:rFonts w:cs="Arial"/>
          </w:rPr>
          <w:t>s eligible to receive NATO funding</w:t>
        </w:r>
        <w:r w:rsidRPr="00BD2A50">
          <w:rPr>
            <w:rStyle w:val="Hyperlink"/>
            <w:rFonts w:cs="Arial"/>
          </w:rPr>
          <w:t xml:space="preserve"> </w:t>
        </w:r>
      </w:hyperlink>
      <w:r>
        <w:t xml:space="preserve">who are unable to obtain financial support from other sources. The organizers are expected to minimise costs by efficient organization of the workshop and the choice of location. </w:t>
      </w:r>
      <w:r w:rsidRPr="006425B4">
        <w:t>Organizational expenses</w:t>
      </w:r>
      <w:r>
        <w:t xml:space="preserve"> should not exceed 25% of overall NATO funding.</w:t>
      </w:r>
    </w:p>
    <w:p w:rsidR="004A5D5E" w:rsidRDefault="004A5D5E" w:rsidP="00BD2A50">
      <w:pPr>
        <w:pStyle w:val="Body"/>
      </w:pPr>
      <w:r>
        <w:t>The funding awarded for each ARW is determined by NATO, taking into account the number of participants, and the size, duration and location of the meeting; typical meetings average €30–40,000. The NATO grant will be awarded in Euro, but may be made in any currency desired by the Co-Directors. For administrative reasons, the award is made to the NATO country Co-Director who is responsible for coordinating expenditures with the Partner country Co-Director and providing financial reporting to NATO</w:t>
      </w:r>
      <w:r>
        <w:rPr>
          <w:rStyle w:val="FootnoteReference"/>
          <w:rFonts w:cs="Arial"/>
        </w:rPr>
        <w:footnoteReference w:id="1"/>
      </w:r>
      <w:r>
        <w:t>.</w:t>
      </w:r>
    </w:p>
    <w:p w:rsidR="004A5D5E" w:rsidRDefault="004A5D5E" w:rsidP="00BD2A50">
      <w:pPr>
        <w:pStyle w:val="Body"/>
      </w:pPr>
      <w:r>
        <w:t>Many organizers find that the NATO grant attracts wider support, and joint sponsorship and support are welcome, provided that the meeting conforms to the ARW format and is designated a "NATO Advanced Research Workshop".</w:t>
      </w:r>
    </w:p>
    <w:p w:rsidR="004A5D5E" w:rsidRPr="00ED3C77" w:rsidRDefault="004A5D5E" w:rsidP="00A81CB9">
      <w:pPr>
        <w:pStyle w:val="Heading1"/>
        <w:jc w:val="both"/>
      </w:pPr>
      <w:r>
        <w:t>Reporting</w:t>
      </w:r>
    </w:p>
    <w:p w:rsidR="004A5D5E" w:rsidRDefault="004A5D5E" w:rsidP="00A81CB9">
      <w:pPr>
        <w:pStyle w:val="Body"/>
        <w:rPr>
          <w:b/>
          <w:bCs/>
        </w:rPr>
      </w:pPr>
      <w:r w:rsidRPr="00A81CB9">
        <w:t xml:space="preserve">The NATO </w:t>
      </w:r>
      <w:r>
        <w:t xml:space="preserve">country </w:t>
      </w:r>
      <w:r w:rsidRPr="00A81CB9">
        <w:t xml:space="preserve">Co-Director, in consultation with the </w:t>
      </w:r>
      <w:r>
        <w:t>Partner</w:t>
      </w:r>
      <w:r w:rsidRPr="00A81CB9">
        <w:t xml:space="preserve"> country Co-Director, </w:t>
      </w:r>
      <w:r w:rsidRPr="00036812">
        <w:rPr>
          <w:bCs/>
        </w:rPr>
        <w:t>must</w:t>
      </w:r>
      <w:r w:rsidRPr="00A81CB9">
        <w:t xml:space="preserve"> submit a General Report to NATO within 30 days of the end of the ARW, and a </w:t>
      </w:r>
      <w:r w:rsidRPr="00036812">
        <w:t>Fin</w:t>
      </w:r>
      <w:r w:rsidRPr="00036812">
        <w:rPr>
          <w:bCs/>
        </w:rPr>
        <w:t>ancial Report within 120 days.</w:t>
      </w:r>
      <w:r w:rsidRPr="00A81CB9">
        <w:t xml:space="preserve"> </w:t>
      </w:r>
      <w:r w:rsidRPr="00597A00">
        <w:rPr>
          <w:bCs/>
        </w:rPr>
        <w:t>S</w:t>
      </w:r>
      <w:r w:rsidRPr="00A81CB9">
        <w:t>pecific forms for these reports can be found at the SPS website under ‘</w:t>
      </w:r>
      <w:hyperlink r:id="rId9" w:history="1">
        <w:r w:rsidRPr="00A81CB9">
          <w:rPr>
            <w:rStyle w:val="Hyperlink"/>
            <w:rFonts w:cs="Arial"/>
          </w:rPr>
          <w:t>How to report?</w:t>
        </w:r>
      </w:hyperlink>
      <w:r w:rsidRPr="00A81CB9">
        <w:t>’.</w:t>
      </w:r>
    </w:p>
    <w:p w:rsidR="004A5D5E" w:rsidRPr="00ED3C77" w:rsidRDefault="004A5D5E" w:rsidP="00A81CB9">
      <w:pPr>
        <w:pStyle w:val="Heading1"/>
        <w:jc w:val="both"/>
      </w:pPr>
      <w:r>
        <w:t>Publication</w:t>
      </w:r>
    </w:p>
    <w:p w:rsidR="004A5D5E" w:rsidRDefault="004A5D5E" w:rsidP="00A81CB9">
      <w:pPr>
        <w:pStyle w:val="Body"/>
      </w:pPr>
      <w:r w:rsidRPr="00A81CB9">
        <w:t xml:space="preserve">Publication of the results of the </w:t>
      </w:r>
      <w:r>
        <w:t>ARW</w:t>
      </w:r>
      <w:r w:rsidRPr="00A81CB9">
        <w:t xml:space="preserve"> as a book in the NATO </w:t>
      </w:r>
      <w:r>
        <w:t>s</w:t>
      </w:r>
      <w:r w:rsidRPr="00A81CB9">
        <w:t xml:space="preserve">cience </w:t>
      </w:r>
      <w:r>
        <w:t>s</w:t>
      </w:r>
      <w:r w:rsidRPr="00A81CB9">
        <w:t>eries is recommended</w:t>
      </w:r>
      <w:r>
        <w:t xml:space="preserve">. Once it </w:t>
      </w:r>
      <w:r w:rsidRPr="00A81CB9">
        <w:t xml:space="preserve">has been accepted by the NATO </w:t>
      </w:r>
      <w:r>
        <w:t>s</w:t>
      </w:r>
      <w:r w:rsidRPr="00A81CB9">
        <w:t xml:space="preserve">cience </w:t>
      </w:r>
      <w:r>
        <w:t>s</w:t>
      </w:r>
      <w:r w:rsidRPr="00A81CB9">
        <w:t>eries publisher</w:t>
      </w:r>
      <w:r>
        <w:t xml:space="preserve">, an </w:t>
      </w:r>
      <w:r w:rsidRPr="00A81CB9">
        <w:t>additional grant may be made available for the preparation of the manuscript</w:t>
      </w:r>
      <w:r>
        <w:t xml:space="preserve">; publication outside the NATO science series is not eligible for this additional grant. </w:t>
      </w:r>
      <w:r w:rsidRPr="00A81CB9">
        <w:t>Co-ordination of the publication is the responsi</w:t>
      </w:r>
      <w:r>
        <w:t>bility of the NATO Co-Director.</w:t>
      </w:r>
    </w:p>
    <w:p w:rsidR="004A5D5E" w:rsidRPr="00ED3C77" w:rsidRDefault="004A5D5E" w:rsidP="00A81CB9">
      <w:pPr>
        <w:pStyle w:val="Heading1"/>
        <w:jc w:val="both"/>
      </w:pPr>
      <w:r w:rsidRPr="00ED3C77">
        <w:t xml:space="preserve">Application </w:t>
      </w:r>
      <w:r>
        <w:t xml:space="preserve">and Review </w:t>
      </w:r>
      <w:r w:rsidRPr="00ED3C77">
        <w:t>Process</w:t>
      </w:r>
    </w:p>
    <w:p w:rsidR="004A5D5E" w:rsidRDefault="004A5D5E" w:rsidP="00A81CB9">
      <w:pPr>
        <w:pStyle w:val="Body"/>
      </w:pPr>
      <w:r>
        <w:t>After having contacted potential Speakers to gauge their interest and commitment to the proposed ARW, prospective Co-Directors</w:t>
      </w:r>
      <w:r w:rsidRPr="00ED3C77">
        <w:t xml:space="preserve"> submit </w:t>
      </w:r>
      <w:r>
        <w:t>the</w:t>
      </w:r>
      <w:r w:rsidRPr="006425B4">
        <w:t xml:space="preserve"> </w:t>
      </w:r>
      <w:r>
        <w:t xml:space="preserve">ARW </w:t>
      </w:r>
      <w:r w:rsidRPr="006425B4">
        <w:t>application</w:t>
      </w:r>
      <w:r>
        <w:t xml:space="preserve">, available on the SPS website, to the SPS Programme office at </w:t>
      </w:r>
      <w:hyperlink r:id="rId10" w:history="1">
        <w:r w:rsidRPr="001D5493">
          <w:rPr>
            <w:rStyle w:val="Hyperlink"/>
            <w:rFonts w:cs="Arial"/>
          </w:rPr>
          <w:t>sps.applications@hq.nato.int</w:t>
        </w:r>
      </w:hyperlink>
      <w:r>
        <w:t xml:space="preserve">, in Microsoft Word format if at all possible. </w:t>
      </w:r>
      <w:r w:rsidRPr="00ED3C77">
        <w:t xml:space="preserve">This </w:t>
      </w:r>
      <w:r>
        <w:t>application</w:t>
      </w:r>
      <w:r w:rsidRPr="00ED3C77">
        <w:t xml:space="preserve"> is reviewed by the SPS staff and by the Independent Scientific Evaluation Group (ISEG) convened by NATO</w:t>
      </w:r>
      <w:r>
        <w:t xml:space="preserve"> based on:</w:t>
      </w:r>
    </w:p>
    <w:p w:rsidR="004A5D5E" w:rsidRDefault="004A5D5E" w:rsidP="00667D45">
      <w:pPr>
        <w:pStyle w:val="Body"/>
        <w:numPr>
          <w:ilvl w:val="0"/>
          <w:numId w:val="5"/>
        </w:numPr>
        <w:spacing w:after="0"/>
        <w:ind w:left="714" w:hanging="357"/>
      </w:pPr>
      <w:r w:rsidRPr="00437F88">
        <w:t xml:space="preserve">scientific and technical quality of the </w:t>
      </w:r>
      <w:r>
        <w:t>proposed meeting</w:t>
      </w:r>
    </w:p>
    <w:p w:rsidR="004A5D5E" w:rsidRDefault="004A5D5E" w:rsidP="00667D45">
      <w:pPr>
        <w:pStyle w:val="Body"/>
        <w:numPr>
          <w:ilvl w:val="0"/>
          <w:numId w:val="5"/>
        </w:numPr>
        <w:spacing w:after="0"/>
        <w:ind w:left="714" w:hanging="357"/>
      </w:pPr>
      <w:r w:rsidRPr="00437F88">
        <w:t xml:space="preserve">qualifications </w:t>
      </w:r>
      <w:r>
        <w:t xml:space="preserve">and level of commitment </w:t>
      </w:r>
      <w:r w:rsidRPr="00437F88">
        <w:t>of the proposed participants</w:t>
      </w:r>
    </w:p>
    <w:p w:rsidR="004A5D5E" w:rsidRDefault="004A5D5E" w:rsidP="00667D45">
      <w:pPr>
        <w:pStyle w:val="Body"/>
        <w:numPr>
          <w:ilvl w:val="0"/>
          <w:numId w:val="5"/>
        </w:numPr>
        <w:spacing w:after="0"/>
        <w:ind w:left="714" w:hanging="357"/>
      </w:pPr>
      <w:r w:rsidRPr="00437F88">
        <w:t xml:space="preserve">appropriateness of the </w:t>
      </w:r>
      <w:r>
        <w:t xml:space="preserve">meeting </w:t>
      </w:r>
      <w:r w:rsidRPr="00437F88">
        <w:t>format</w:t>
      </w:r>
    </w:p>
    <w:p w:rsidR="004A5D5E" w:rsidRPr="00ED2D91" w:rsidRDefault="004A5D5E" w:rsidP="00667D45">
      <w:pPr>
        <w:pStyle w:val="Body"/>
        <w:numPr>
          <w:ilvl w:val="0"/>
          <w:numId w:val="5"/>
        </w:numPr>
        <w:ind w:left="714" w:hanging="357"/>
      </w:pPr>
      <w:r>
        <w:t xml:space="preserve">relevance to the </w:t>
      </w:r>
      <w:hyperlink w:anchor="Annex1KeyPriorities" w:history="1">
        <w:r w:rsidRPr="00ED2D91">
          <w:rPr>
            <w:rStyle w:val="Hyperlink"/>
            <w:rFonts w:cs="Arial"/>
          </w:rPr>
          <w:t>SPS Key Priorities</w:t>
        </w:r>
      </w:hyperlink>
    </w:p>
    <w:p w:rsidR="004A5D5E" w:rsidRDefault="004A5D5E" w:rsidP="0058543C">
      <w:pPr>
        <w:pStyle w:val="Body"/>
      </w:pPr>
      <w:r>
        <w:t>Applications recommended by the ISEG will then be reviewed by NATO which makes the final decision to fund or reject a proposed ARW.</w:t>
      </w:r>
    </w:p>
    <w:p w:rsidR="004A5D5E" w:rsidRDefault="004A5D5E" w:rsidP="0058543C">
      <w:pPr>
        <w:pStyle w:val="Body"/>
      </w:pPr>
      <w:r>
        <w:t>Applications</w:t>
      </w:r>
      <w:r w:rsidRPr="00ED3C77">
        <w:t xml:space="preserve"> may be submitted at any time</w:t>
      </w:r>
      <w:r>
        <w:t xml:space="preserve"> and will be evaluated twice annually by the Independent Scientific Evaluation Group with deadlines for each cycle posted on the </w:t>
      </w:r>
      <w:hyperlink r:id="rId11" w:history="1">
        <w:r w:rsidRPr="00E56CC7">
          <w:rPr>
            <w:rStyle w:val="Hyperlink"/>
            <w:rFonts w:cs="Arial"/>
          </w:rPr>
          <w:t>SPS website</w:t>
        </w:r>
      </w:hyperlink>
      <w:r w:rsidRPr="00ED3C77">
        <w:t>.</w:t>
      </w:r>
      <w:r>
        <w:t xml:space="preserve"> The overall process for a successful application, from the deadline to confirmation of funding can take up to nine months. Please plan the dates of your proposed ARW accordingly.</w:t>
      </w:r>
    </w:p>
    <w:p w:rsidR="004A5D5E" w:rsidRDefault="004A5D5E" w:rsidP="003002B1">
      <w:pPr>
        <w:pStyle w:val="Heading1"/>
      </w:pPr>
      <w:r>
        <w:t>List of Annexes</w:t>
      </w:r>
    </w:p>
    <w:p w:rsidR="004A5D5E" w:rsidRDefault="004A5D5E" w:rsidP="00667D45">
      <w:pPr>
        <w:pStyle w:val="Body"/>
        <w:numPr>
          <w:ilvl w:val="0"/>
          <w:numId w:val="4"/>
        </w:numPr>
        <w:tabs>
          <w:tab w:val="clear" w:pos="720"/>
          <w:tab w:val="num" w:pos="1418"/>
        </w:tabs>
        <w:spacing w:after="0"/>
      </w:pPr>
      <w:r>
        <w:t>SPS Key Priorities</w:t>
      </w:r>
    </w:p>
    <w:p w:rsidR="004A5D5E" w:rsidRPr="00291CB9" w:rsidRDefault="004A5D5E" w:rsidP="00291CB9">
      <w:pPr>
        <w:pStyle w:val="Body"/>
        <w:numPr>
          <w:ilvl w:val="0"/>
          <w:numId w:val="4"/>
        </w:numPr>
        <w:tabs>
          <w:tab w:val="clear" w:pos="720"/>
          <w:tab w:val="num" w:pos="1418"/>
        </w:tabs>
        <w:spacing w:after="0"/>
      </w:pPr>
      <w:r>
        <w:t>Eligible Countries</w:t>
      </w:r>
      <w:r>
        <w:br w:type="page"/>
      </w: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4A5D5E" w:rsidRPr="00ED3C77">
        <w:trPr>
          <w:trHeight w:val="1881"/>
        </w:trPr>
        <w:tc>
          <w:tcPr>
            <w:tcW w:w="993" w:type="dxa"/>
            <w:tcBorders>
              <w:bottom w:val="single" w:sz="4" w:space="0" w:color="auto"/>
            </w:tcBorders>
            <w:vAlign w:val="center"/>
          </w:tcPr>
          <w:p w:rsidR="004A5D5E" w:rsidRPr="00ED3C77" w:rsidRDefault="004A5D5E" w:rsidP="00E33755">
            <w:pPr>
              <w:jc w:val="center"/>
              <w:rPr>
                <w:b/>
                <w:bCs/>
              </w:rPr>
            </w:pPr>
            <w:bookmarkStart w:id="4" w:name="Annex1KeyPriorities"/>
            <w:bookmarkEnd w:id="4"/>
            <w:r w:rsidRPr="008F7E7A">
              <w:rPr>
                <w:b/>
                <w:noProof/>
                <w:lang w:val="en-US"/>
              </w:rPr>
              <w:pict>
                <v:shape id="Picture 2" o:spid="_x0000_i1026" type="#_x0000_t75" style="width:45pt;height:90.6pt;visibility:visible">
                  <v:imagedata r:id="rId7" o:title=""/>
                </v:shape>
              </w:pict>
            </w:r>
          </w:p>
        </w:tc>
        <w:tc>
          <w:tcPr>
            <w:tcW w:w="9355" w:type="dxa"/>
            <w:tcBorders>
              <w:bottom w:val="single" w:sz="4" w:space="0" w:color="auto"/>
            </w:tcBorders>
            <w:vAlign w:val="center"/>
          </w:tcPr>
          <w:p w:rsidR="004A5D5E" w:rsidRPr="00ED3C77" w:rsidRDefault="004A5D5E" w:rsidP="000A5DB2">
            <w:pPr>
              <w:spacing w:after="120"/>
              <w:jc w:val="center"/>
              <w:rPr>
                <w:b/>
                <w:bCs/>
                <w:color w:val="3487C8"/>
                <w:sz w:val="22"/>
                <w:szCs w:val="22"/>
              </w:rPr>
            </w:pPr>
            <w:r w:rsidRPr="00ED3C77">
              <w:rPr>
                <w:b/>
                <w:bCs/>
                <w:color w:val="3487C8"/>
                <w:sz w:val="22"/>
                <w:szCs w:val="22"/>
              </w:rPr>
              <w:t>Emerging Security Challenges Division</w:t>
            </w:r>
          </w:p>
          <w:p w:rsidR="004A5D5E" w:rsidRPr="00ED3C77" w:rsidRDefault="004A5D5E" w:rsidP="000A5DB2">
            <w:pPr>
              <w:spacing w:after="200"/>
              <w:jc w:val="center"/>
              <w:rPr>
                <w:b/>
                <w:bCs/>
                <w:color w:val="3487C8"/>
                <w:sz w:val="28"/>
                <w:szCs w:val="28"/>
              </w:rPr>
            </w:pPr>
            <w:r w:rsidRPr="00ED3C77">
              <w:rPr>
                <w:b/>
                <w:bCs/>
                <w:color w:val="3487C8"/>
                <w:sz w:val="28"/>
                <w:szCs w:val="28"/>
              </w:rPr>
              <w:t>Science for Peace and Security Programme</w:t>
            </w:r>
          </w:p>
          <w:p w:rsidR="004A5D5E" w:rsidRPr="00F07247" w:rsidRDefault="004A5D5E" w:rsidP="000A5DB2">
            <w:pPr>
              <w:spacing w:after="200"/>
              <w:jc w:val="center"/>
              <w:rPr>
                <w:rFonts w:ascii="Arial" w:hAnsi="Arial" w:cs="Arial"/>
                <w:b/>
                <w:bCs/>
                <w:color w:val="00408B"/>
                <w:sz w:val="28"/>
                <w:szCs w:val="28"/>
              </w:rPr>
            </w:pPr>
            <w:r w:rsidRPr="00F07247">
              <w:rPr>
                <w:rFonts w:ascii="Arial" w:hAnsi="Arial" w:cs="Arial"/>
                <w:b/>
                <w:bCs/>
                <w:color w:val="00408B"/>
                <w:sz w:val="28"/>
                <w:szCs w:val="28"/>
              </w:rPr>
              <w:t>Gu</w:t>
            </w:r>
            <w:r>
              <w:rPr>
                <w:rFonts w:ascii="Arial" w:hAnsi="Arial" w:cs="Arial"/>
                <w:b/>
                <w:bCs/>
                <w:color w:val="00408B"/>
                <w:sz w:val="28"/>
                <w:szCs w:val="28"/>
              </w:rPr>
              <w:t>idelines for Applicants</w:t>
            </w:r>
            <w:r w:rsidRPr="00F07247">
              <w:rPr>
                <w:rFonts w:ascii="Arial" w:hAnsi="Arial" w:cs="Arial"/>
                <w:b/>
                <w:bCs/>
                <w:color w:val="00408B"/>
                <w:sz w:val="28"/>
                <w:szCs w:val="28"/>
              </w:rPr>
              <w:br/>
              <w:t>ANNEX 1: SPS Key Priorities</w:t>
            </w:r>
          </w:p>
          <w:p w:rsidR="004A5D5E" w:rsidRPr="00ED3C77" w:rsidRDefault="004A5D5E" w:rsidP="000A5DB2">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4A5D5E" w:rsidRPr="000A5DB2" w:rsidRDefault="004A5D5E" w:rsidP="00F3542A">
      <w:pPr>
        <w:spacing w:before="120" w:after="60"/>
        <w:jc w:val="both"/>
        <w:rPr>
          <w:rFonts w:ascii="Arial" w:hAnsi="Arial" w:cs="Arial"/>
          <w:sz w:val="20"/>
        </w:rPr>
      </w:pPr>
      <w:r w:rsidRPr="000A5DB2">
        <w:rPr>
          <w:rFonts w:ascii="Arial" w:hAnsi="Arial" w:cs="Arial"/>
          <w:sz w:val="20"/>
        </w:rPr>
        <w:t>All activities funded under the SPS Programme must address the SPS Key Priorities listed below and must have a clear link to security and to NATO’s strategic objectives.</w:t>
      </w:r>
    </w:p>
    <w:p w:rsidR="004A5D5E" w:rsidRPr="000A5DB2" w:rsidRDefault="004A5D5E" w:rsidP="00667D45">
      <w:pPr>
        <w:numPr>
          <w:ilvl w:val="0"/>
          <w:numId w:val="3"/>
        </w:numPr>
        <w:jc w:val="both"/>
        <w:rPr>
          <w:rFonts w:ascii="Arial" w:hAnsi="Arial" w:cs="Arial"/>
          <w:b/>
          <w:sz w:val="20"/>
        </w:rPr>
      </w:pPr>
      <w:r w:rsidRPr="000A5DB2">
        <w:rPr>
          <w:rFonts w:ascii="Arial" w:hAnsi="Arial" w:cs="Arial"/>
          <w:b/>
          <w:sz w:val="20"/>
        </w:rPr>
        <w:t>Facilitate mutually beneficial cooperation on issues of common interest, including international efforts to meet emerging security challenges</w:t>
      </w:r>
    </w:p>
    <w:p w:rsidR="004A5D5E" w:rsidRPr="000A5DB2" w:rsidRDefault="004A5D5E" w:rsidP="00667D45">
      <w:pPr>
        <w:numPr>
          <w:ilvl w:val="1"/>
          <w:numId w:val="3"/>
        </w:numPr>
        <w:jc w:val="both"/>
        <w:rPr>
          <w:rFonts w:ascii="Arial" w:hAnsi="Arial" w:cs="Arial"/>
          <w:i/>
          <w:sz w:val="20"/>
        </w:rPr>
      </w:pPr>
      <w:r w:rsidRPr="000A5DB2">
        <w:rPr>
          <w:rFonts w:ascii="Arial" w:hAnsi="Arial" w:cs="Arial"/>
          <w:i/>
          <w:sz w:val="20"/>
        </w:rPr>
        <w:t>Counter-Terrorism</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Methods for the protection of critical infrastructure, supplies and personnel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Human factors in the defence against terrorism</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Detection technologies against the terrorist threat for explosive devices and other illicit activities</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Risk management, best practices and technologies in response to terrorism.</w:t>
      </w:r>
    </w:p>
    <w:p w:rsidR="004A5D5E" w:rsidRPr="000A5DB2" w:rsidRDefault="004A5D5E" w:rsidP="00667D45">
      <w:pPr>
        <w:numPr>
          <w:ilvl w:val="1"/>
          <w:numId w:val="3"/>
        </w:numPr>
        <w:jc w:val="both"/>
        <w:rPr>
          <w:rFonts w:ascii="Arial" w:hAnsi="Arial" w:cs="Arial"/>
          <w:i/>
          <w:sz w:val="20"/>
        </w:rPr>
      </w:pPr>
      <w:r w:rsidRPr="000A5DB2">
        <w:rPr>
          <w:rFonts w:ascii="Arial" w:hAnsi="Arial" w:cs="Arial"/>
          <w:i/>
          <w:sz w:val="20"/>
        </w:rPr>
        <w:t xml:space="preserve">Energy Security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Innovative energy solutions for the military; battlefield energy solutions; renewable energy solutions with military applications;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Energy infrastructure security;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Maritime aspects of energy security;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Technological aspects of energy security.</w:t>
      </w:r>
    </w:p>
    <w:p w:rsidR="004A5D5E" w:rsidRPr="000A5DB2" w:rsidRDefault="004A5D5E" w:rsidP="00667D45">
      <w:pPr>
        <w:numPr>
          <w:ilvl w:val="1"/>
          <w:numId w:val="3"/>
        </w:numPr>
        <w:jc w:val="both"/>
        <w:rPr>
          <w:rFonts w:ascii="Arial" w:hAnsi="Arial" w:cs="Arial"/>
          <w:i/>
          <w:sz w:val="20"/>
        </w:rPr>
      </w:pPr>
      <w:r w:rsidRPr="000A5DB2">
        <w:rPr>
          <w:rFonts w:ascii="Arial" w:hAnsi="Arial" w:cs="Arial"/>
          <w:i/>
          <w:sz w:val="20"/>
        </w:rPr>
        <w:t xml:space="preserve">Cyber Defence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Critical infrastructure protection, including sharing of best practices, capacity building and policies;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Support in developing cyber defence capabilities, including new technologies and support to the construction of information technology infrastructure;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Cyber defence situation awareness.</w:t>
      </w:r>
    </w:p>
    <w:p w:rsidR="004A5D5E" w:rsidRPr="000A5DB2" w:rsidRDefault="004A5D5E" w:rsidP="00667D45">
      <w:pPr>
        <w:numPr>
          <w:ilvl w:val="1"/>
          <w:numId w:val="3"/>
        </w:numPr>
        <w:jc w:val="both"/>
        <w:rPr>
          <w:rFonts w:ascii="Arial" w:hAnsi="Arial" w:cs="Arial"/>
          <w:i/>
          <w:sz w:val="20"/>
        </w:rPr>
      </w:pPr>
      <w:r w:rsidRPr="000A5DB2">
        <w:rPr>
          <w:rFonts w:ascii="Arial" w:hAnsi="Arial" w:cs="Arial"/>
          <w:i/>
          <w:sz w:val="20"/>
        </w:rPr>
        <w:t xml:space="preserve">Defence against CBRN Agents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Methods and technology regarding the protection against, diagnosing effects, detection, decontamination, destruction, disposal and containment of CBRN agents;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Risk management and recovery strategies and technologies;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Medical countermeasures against CBRN agents. </w:t>
      </w:r>
    </w:p>
    <w:p w:rsidR="004A5D5E" w:rsidRPr="000A5DB2" w:rsidRDefault="004A5D5E" w:rsidP="00667D45">
      <w:pPr>
        <w:numPr>
          <w:ilvl w:val="1"/>
          <w:numId w:val="3"/>
        </w:numPr>
        <w:jc w:val="both"/>
        <w:rPr>
          <w:rFonts w:ascii="Arial" w:hAnsi="Arial" w:cs="Arial"/>
          <w:i/>
          <w:sz w:val="20"/>
        </w:rPr>
      </w:pPr>
      <w:r w:rsidRPr="000A5DB2">
        <w:rPr>
          <w:rFonts w:ascii="Arial" w:hAnsi="Arial" w:cs="Arial"/>
          <w:i/>
          <w:sz w:val="20"/>
        </w:rPr>
        <w:t xml:space="preserve">Environmental Security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Security issues arising from key environmental and resource constraints, including health risks, climate change, water scarcity and increasing energy needs, which have the potential to significantly affect NATO’s planning and operations;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Disaster forecast and prevention of natural catastrophes;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Defence-related environmental issues. </w:t>
      </w:r>
    </w:p>
    <w:p w:rsidR="004A5D5E" w:rsidRPr="000A5DB2" w:rsidRDefault="004A5D5E" w:rsidP="00667D45">
      <w:pPr>
        <w:numPr>
          <w:ilvl w:val="0"/>
          <w:numId w:val="3"/>
        </w:numPr>
        <w:jc w:val="both"/>
        <w:rPr>
          <w:rFonts w:ascii="Arial" w:hAnsi="Arial" w:cs="Arial"/>
          <w:b/>
          <w:sz w:val="20"/>
        </w:rPr>
      </w:pPr>
      <w:r w:rsidRPr="000A5DB2">
        <w:rPr>
          <w:rFonts w:ascii="Arial" w:hAnsi="Arial" w:cs="Arial"/>
          <w:b/>
          <w:sz w:val="20"/>
        </w:rPr>
        <w:t xml:space="preserve">Enhance support for NATO-led operations and missions </w:t>
      </w:r>
    </w:p>
    <w:p w:rsidR="004A5D5E" w:rsidRPr="000A5DB2" w:rsidRDefault="004A5D5E" w:rsidP="00667D45">
      <w:pPr>
        <w:numPr>
          <w:ilvl w:val="1"/>
          <w:numId w:val="3"/>
        </w:numPr>
        <w:jc w:val="both"/>
        <w:rPr>
          <w:rFonts w:ascii="Arial" w:hAnsi="Arial" w:cs="Arial"/>
          <w:sz w:val="20"/>
        </w:rPr>
      </w:pPr>
      <w:r w:rsidRPr="000A5DB2">
        <w:rPr>
          <w:rFonts w:ascii="Arial" w:hAnsi="Arial" w:cs="Arial"/>
          <w:sz w:val="20"/>
        </w:rPr>
        <w:t xml:space="preserve">Provision of civilian support through SPS Key Priorities; </w:t>
      </w:r>
    </w:p>
    <w:p w:rsidR="004A5D5E" w:rsidRPr="000A5DB2" w:rsidRDefault="004A5D5E" w:rsidP="00667D45">
      <w:pPr>
        <w:numPr>
          <w:ilvl w:val="1"/>
          <w:numId w:val="3"/>
        </w:numPr>
        <w:jc w:val="both"/>
        <w:rPr>
          <w:rFonts w:ascii="Arial" w:hAnsi="Arial" w:cs="Arial"/>
          <w:sz w:val="20"/>
        </w:rPr>
      </w:pPr>
      <w:r w:rsidRPr="000A5DB2">
        <w:rPr>
          <w:rFonts w:ascii="Arial" w:hAnsi="Arial" w:cs="Arial"/>
          <w:sz w:val="20"/>
        </w:rPr>
        <w:t xml:space="preserve">Provision of access to information through internet connectivity as in the SILK-Afghanistan Programme; </w:t>
      </w:r>
    </w:p>
    <w:p w:rsidR="004A5D5E" w:rsidRPr="000A5DB2" w:rsidRDefault="004A5D5E" w:rsidP="00667D45">
      <w:pPr>
        <w:numPr>
          <w:ilvl w:val="1"/>
          <w:numId w:val="3"/>
        </w:numPr>
        <w:jc w:val="both"/>
        <w:rPr>
          <w:rFonts w:ascii="Arial" w:hAnsi="Arial" w:cs="Arial"/>
          <w:sz w:val="20"/>
        </w:rPr>
      </w:pPr>
      <w:r w:rsidRPr="000A5DB2">
        <w:rPr>
          <w:rFonts w:ascii="Arial" w:hAnsi="Arial" w:cs="Arial"/>
          <w:sz w:val="20"/>
        </w:rPr>
        <w:t xml:space="preserve">Cultural and social aspects in military operations and missions; </w:t>
      </w:r>
    </w:p>
    <w:p w:rsidR="004A5D5E" w:rsidRPr="000A5DB2" w:rsidRDefault="004A5D5E" w:rsidP="00667D45">
      <w:pPr>
        <w:numPr>
          <w:ilvl w:val="1"/>
          <w:numId w:val="3"/>
        </w:numPr>
        <w:jc w:val="both"/>
        <w:rPr>
          <w:rFonts w:ascii="Arial" w:hAnsi="Arial" w:cs="Arial"/>
          <w:sz w:val="20"/>
        </w:rPr>
      </w:pPr>
      <w:r w:rsidRPr="000A5DB2">
        <w:rPr>
          <w:rFonts w:ascii="Arial" w:hAnsi="Arial" w:cs="Arial"/>
          <w:sz w:val="20"/>
        </w:rPr>
        <w:t>Enhancing cooperation with other international actors.</w:t>
      </w:r>
    </w:p>
    <w:p w:rsidR="004A5D5E" w:rsidRPr="000A5DB2" w:rsidRDefault="004A5D5E" w:rsidP="00667D45">
      <w:pPr>
        <w:numPr>
          <w:ilvl w:val="0"/>
          <w:numId w:val="3"/>
        </w:numPr>
        <w:jc w:val="both"/>
        <w:rPr>
          <w:rFonts w:ascii="Arial" w:hAnsi="Arial" w:cs="Arial"/>
          <w:b/>
          <w:sz w:val="20"/>
        </w:rPr>
      </w:pPr>
      <w:r w:rsidRPr="000A5DB2">
        <w:rPr>
          <w:rFonts w:ascii="Arial" w:hAnsi="Arial" w:cs="Arial"/>
          <w:b/>
          <w:sz w:val="20"/>
        </w:rPr>
        <w:t xml:space="preserve">Enhance awareness on security developments including through early warning, with a view to preventing crises </w:t>
      </w:r>
    </w:p>
    <w:p w:rsidR="004A5D5E" w:rsidRPr="000A5DB2" w:rsidRDefault="004A5D5E" w:rsidP="00667D45">
      <w:pPr>
        <w:numPr>
          <w:ilvl w:val="1"/>
          <w:numId w:val="3"/>
        </w:numPr>
        <w:jc w:val="both"/>
        <w:rPr>
          <w:rFonts w:ascii="Arial" w:hAnsi="Arial" w:cs="Arial"/>
          <w:i/>
          <w:sz w:val="20"/>
        </w:rPr>
      </w:pPr>
      <w:r w:rsidRPr="000A5DB2">
        <w:rPr>
          <w:rFonts w:ascii="Arial" w:hAnsi="Arial" w:cs="Arial"/>
          <w:i/>
          <w:sz w:val="20"/>
        </w:rPr>
        <w:t>Security-related Advanced Technology:</w:t>
      </w:r>
    </w:p>
    <w:p w:rsidR="004A5D5E" w:rsidRPr="000A5DB2" w:rsidRDefault="004A5D5E" w:rsidP="00234914">
      <w:pPr>
        <w:ind w:left="720"/>
        <w:jc w:val="both"/>
        <w:rPr>
          <w:rFonts w:ascii="Arial" w:hAnsi="Arial" w:cs="Arial"/>
          <w:sz w:val="20"/>
        </w:rPr>
      </w:pPr>
      <w:r w:rsidRPr="000A5DB2">
        <w:rPr>
          <w:rFonts w:ascii="Arial" w:hAnsi="Arial" w:cs="Arial"/>
          <w:sz w:val="20"/>
        </w:rPr>
        <w:t>Emerging technologies including nanotechnology, optical technology, micro satellites, metallurgy and the development of UAV platforms.</w:t>
      </w:r>
    </w:p>
    <w:p w:rsidR="004A5D5E" w:rsidRPr="000A5DB2" w:rsidRDefault="004A5D5E" w:rsidP="00667D45">
      <w:pPr>
        <w:numPr>
          <w:ilvl w:val="1"/>
          <w:numId w:val="3"/>
        </w:numPr>
        <w:jc w:val="both"/>
        <w:rPr>
          <w:rFonts w:ascii="Arial" w:hAnsi="Arial" w:cs="Arial"/>
          <w:i/>
          <w:sz w:val="20"/>
        </w:rPr>
      </w:pPr>
      <w:r w:rsidRPr="000A5DB2">
        <w:rPr>
          <w:rFonts w:ascii="Arial" w:hAnsi="Arial" w:cs="Arial"/>
          <w:i/>
          <w:sz w:val="20"/>
        </w:rPr>
        <w:t xml:space="preserve">Border and Port Security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Border and port security technology;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Cross border communication systems and data fusion;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Expert advice and assessments of border security needs and best practice. </w:t>
      </w:r>
    </w:p>
    <w:p w:rsidR="004A5D5E" w:rsidRPr="000A5DB2" w:rsidRDefault="004A5D5E" w:rsidP="00667D45">
      <w:pPr>
        <w:numPr>
          <w:ilvl w:val="1"/>
          <w:numId w:val="3"/>
        </w:numPr>
        <w:jc w:val="both"/>
        <w:rPr>
          <w:rFonts w:ascii="Arial" w:hAnsi="Arial" w:cs="Arial"/>
          <w:i/>
          <w:sz w:val="20"/>
        </w:rPr>
      </w:pPr>
      <w:r w:rsidRPr="000A5DB2">
        <w:rPr>
          <w:rFonts w:ascii="Arial" w:hAnsi="Arial" w:cs="Arial"/>
          <w:i/>
          <w:sz w:val="20"/>
        </w:rPr>
        <w:t xml:space="preserve">Mine and Unexploded Ordnance Detection and Clearance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 xml:space="preserve">Development and provision of advanced technologies, methodologies and best practice; </w:t>
      </w:r>
    </w:p>
    <w:p w:rsidR="004A5D5E" w:rsidRPr="000A5DB2" w:rsidRDefault="004A5D5E" w:rsidP="00667D45">
      <w:pPr>
        <w:numPr>
          <w:ilvl w:val="2"/>
          <w:numId w:val="3"/>
        </w:numPr>
        <w:jc w:val="both"/>
        <w:rPr>
          <w:rFonts w:ascii="Arial" w:hAnsi="Arial" w:cs="Arial"/>
          <w:sz w:val="20"/>
        </w:rPr>
      </w:pPr>
      <w:r w:rsidRPr="000A5DB2">
        <w:rPr>
          <w:rFonts w:ascii="Arial" w:hAnsi="Arial" w:cs="Arial"/>
          <w:sz w:val="20"/>
        </w:rPr>
        <w:t>Solutions to counter improvised explosive devices (IED).</w:t>
      </w:r>
    </w:p>
    <w:p w:rsidR="004A5D5E" w:rsidRPr="00664B0A" w:rsidRDefault="004A5D5E" w:rsidP="00664B0A">
      <w:pPr>
        <w:numPr>
          <w:ilvl w:val="1"/>
          <w:numId w:val="3"/>
        </w:numPr>
        <w:jc w:val="both"/>
        <w:rPr>
          <w:rFonts w:ascii="Arial" w:hAnsi="Arial" w:cs="Arial"/>
          <w:sz w:val="20"/>
        </w:rPr>
      </w:pPr>
      <w:r w:rsidRPr="00664B0A">
        <w:rPr>
          <w:rFonts w:ascii="Arial" w:hAnsi="Arial" w:cs="Arial"/>
          <w:sz w:val="20"/>
        </w:rPr>
        <w:t xml:space="preserve">Human and Social Aspects of Security related to NATO’s strategic objectives </w:t>
      </w:r>
    </w:p>
    <w:p w:rsidR="004A5D5E" w:rsidRPr="00291CB9" w:rsidRDefault="004A5D5E" w:rsidP="00291CB9">
      <w:pPr>
        <w:numPr>
          <w:ilvl w:val="0"/>
          <w:numId w:val="3"/>
        </w:numPr>
        <w:jc w:val="both"/>
        <w:rPr>
          <w:rFonts w:ascii="Arial" w:hAnsi="Arial" w:cs="Arial"/>
          <w:b/>
          <w:sz w:val="20"/>
        </w:rPr>
      </w:pPr>
      <w:r w:rsidRPr="00291CB9">
        <w:rPr>
          <w:rFonts w:ascii="Arial" w:hAnsi="Arial" w:cs="Arial"/>
          <w:b/>
          <w:sz w:val="20"/>
        </w:rPr>
        <w:t>Any project related clearly linked to a threat to security not otherwise defined in these priorities may also be considered for funding under the SPS Programme. Such proposals will be examined for links to NATO’s Strategic Objectives.</w:t>
      </w:r>
      <w:r w:rsidRPr="00291CB9">
        <w:rPr>
          <w:rFonts w:ascii="Arial" w:hAnsi="Arial" w:cs="Arial"/>
          <w:b/>
          <w:sz w:val="20"/>
        </w:rPr>
        <w:br w:type="page"/>
      </w: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4A5D5E" w:rsidRPr="00ED3C77">
        <w:trPr>
          <w:trHeight w:val="1881"/>
        </w:trPr>
        <w:tc>
          <w:tcPr>
            <w:tcW w:w="993" w:type="dxa"/>
            <w:tcBorders>
              <w:bottom w:val="single" w:sz="4" w:space="0" w:color="auto"/>
            </w:tcBorders>
            <w:vAlign w:val="center"/>
          </w:tcPr>
          <w:p w:rsidR="004A5D5E" w:rsidRPr="00ED3C77" w:rsidRDefault="004A5D5E" w:rsidP="00A203DD">
            <w:pPr>
              <w:jc w:val="center"/>
              <w:rPr>
                <w:b/>
                <w:bCs/>
              </w:rPr>
            </w:pPr>
            <w:bookmarkStart w:id="5" w:name="Annex3EligibleCountries"/>
            <w:bookmarkEnd w:id="5"/>
            <w:r w:rsidRPr="008F7E7A">
              <w:rPr>
                <w:b/>
                <w:noProof/>
                <w:lang w:val="en-US"/>
              </w:rPr>
              <w:pict>
                <v:shape id="Picture 3" o:spid="_x0000_i1027" type="#_x0000_t75" style="width:45pt;height:90.6pt;visibility:visible">
                  <v:imagedata r:id="rId7" o:title=""/>
                </v:shape>
              </w:pict>
            </w:r>
          </w:p>
        </w:tc>
        <w:tc>
          <w:tcPr>
            <w:tcW w:w="9355" w:type="dxa"/>
            <w:tcBorders>
              <w:bottom w:val="single" w:sz="4" w:space="0" w:color="auto"/>
            </w:tcBorders>
            <w:vAlign w:val="center"/>
          </w:tcPr>
          <w:p w:rsidR="004A5D5E" w:rsidRPr="00ED3C77" w:rsidRDefault="004A5D5E" w:rsidP="00090D7A">
            <w:pPr>
              <w:spacing w:after="120"/>
              <w:jc w:val="center"/>
              <w:rPr>
                <w:b/>
                <w:bCs/>
                <w:color w:val="3487C8"/>
                <w:sz w:val="22"/>
                <w:szCs w:val="22"/>
              </w:rPr>
            </w:pPr>
            <w:r w:rsidRPr="00ED3C77">
              <w:rPr>
                <w:b/>
                <w:bCs/>
                <w:color w:val="3487C8"/>
                <w:sz w:val="22"/>
                <w:szCs w:val="22"/>
              </w:rPr>
              <w:t>Emerging Security Challenges Division</w:t>
            </w:r>
          </w:p>
          <w:p w:rsidR="004A5D5E" w:rsidRPr="00ED3C77" w:rsidRDefault="004A5D5E" w:rsidP="00090D7A">
            <w:pPr>
              <w:spacing w:after="200"/>
              <w:jc w:val="center"/>
              <w:rPr>
                <w:b/>
                <w:bCs/>
                <w:color w:val="3487C8"/>
                <w:sz w:val="28"/>
                <w:szCs w:val="28"/>
              </w:rPr>
            </w:pPr>
            <w:r w:rsidRPr="00ED3C77">
              <w:rPr>
                <w:b/>
                <w:bCs/>
                <w:color w:val="3487C8"/>
                <w:sz w:val="28"/>
                <w:szCs w:val="28"/>
              </w:rPr>
              <w:t>Science for Peace and Security Programme</w:t>
            </w:r>
          </w:p>
          <w:p w:rsidR="004A5D5E" w:rsidRPr="00F07247" w:rsidRDefault="004A5D5E" w:rsidP="00090D7A">
            <w:pPr>
              <w:spacing w:after="200"/>
              <w:jc w:val="center"/>
              <w:rPr>
                <w:rFonts w:ascii="Arial" w:hAnsi="Arial" w:cs="Arial"/>
                <w:b/>
                <w:bCs/>
                <w:color w:val="00408B"/>
                <w:sz w:val="28"/>
                <w:szCs w:val="28"/>
              </w:rPr>
            </w:pPr>
            <w:r w:rsidRPr="00F07247">
              <w:rPr>
                <w:rFonts w:ascii="Arial" w:hAnsi="Arial" w:cs="Arial"/>
                <w:b/>
                <w:bCs/>
                <w:color w:val="00408B"/>
                <w:sz w:val="28"/>
                <w:szCs w:val="28"/>
              </w:rPr>
              <w:t>Guidelines for Applicants</w:t>
            </w:r>
            <w:r w:rsidRPr="00F07247">
              <w:rPr>
                <w:rFonts w:ascii="Arial" w:hAnsi="Arial" w:cs="Arial"/>
                <w:b/>
                <w:bCs/>
                <w:color w:val="00408B"/>
                <w:sz w:val="28"/>
                <w:szCs w:val="28"/>
              </w:rPr>
              <w:br/>
              <w:t xml:space="preserve">ANNEX </w:t>
            </w:r>
            <w:r>
              <w:rPr>
                <w:rFonts w:ascii="Arial" w:hAnsi="Arial" w:cs="Arial"/>
                <w:b/>
                <w:bCs/>
                <w:color w:val="00408B"/>
                <w:sz w:val="28"/>
                <w:szCs w:val="28"/>
              </w:rPr>
              <w:t>2</w:t>
            </w:r>
            <w:r w:rsidRPr="00F07247">
              <w:rPr>
                <w:rFonts w:ascii="Arial" w:hAnsi="Arial" w:cs="Arial"/>
                <w:b/>
                <w:bCs/>
                <w:color w:val="00408B"/>
                <w:sz w:val="28"/>
                <w:szCs w:val="28"/>
              </w:rPr>
              <w:t>: Eligible Countries</w:t>
            </w:r>
          </w:p>
          <w:p w:rsidR="004A5D5E" w:rsidRPr="00ED3C77" w:rsidRDefault="004A5D5E" w:rsidP="00090D7A">
            <w:pPr>
              <w:jc w:val="center"/>
              <w:rPr>
                <w:b/>
                <w:bCs/>
              </w:rPr>
            </w:pPr>
            <w:r w:rsidRPr="00ED3C77">
              <w:rPr>
                <w:szCs w:val="18"/>
              </w:rPr>
              <w:t xml:space="preserve">NATO Emerging Security Challenges Division, SPS Programme, Bd. Léopold III, </w:t>
            </w:r>
            <w:r w:rsidRPr="00ED3C77" w:rsidDel="00C17795">
              <w:rPr>
                <w:szCs w:val="18"/>
              </w:rPr>
              <w:t>B-</w:t>
            </w:r>
            <w:r w:rsidRPr="00ED3C77">
              <w:rPr>
                <w:szCs w:val="18"/>
              </w:rPr>
              <w:t>1110 Brussels, Belgium</w:t>
            </w:r>
          </w:p>
        </w:tc>
      </w:tr>
    </w:tbl>
    <w:p w:rsidR="004A5D5E" w:rsidRPr="00ED3C77" w:rsidRDefault="004A5D5E" w:rsidP="00B82A05">
      <w:pPr>
        <w:pStyle w:val="Heading1"/>
      </w:pPr>
      <w:r w:rsidRPr="00ED3C77">
        <w:t>NATO Countries</w:t>
      </w:r>
      <w:bookmarkEnd w:id="1"/>
    </w:p>
    <w:p w:rsidR="004A5D5E" w:rsidRPr="00ED3C77" w:rsidRDefault="004A5D5E" w:rsidP="0058543C">
      <w:pPr>
        <w:pStyle w:val="Body"/>
      </w:pPr>
      <w:r w:rsidRPr="00ED3C77">
        <w:t xml:space="preserve">Albania, Belgium, Bulgaria, Canada, Croatia, Czech Republic, Denmark, Estonia, France, Germany, Greece, Hungary, Iceland, Italy, Latvia, Lithuania, Luxembourg, Netherlands, Norway, Poland, Portugal, Romania, Slovak Republic, Slovenia, Spain, </w:t>
      </w:r>
      <w:r>
        <w:t>T</w:t>
      </w:r>
      <w:r w:rsidRPr="00ED3C77">
        <w:t>urkey, United Kingdom, United States</w:t>
      </w:r>
    </w:p>
    <w:p w:rsidR="004A5D5E" w:rsidRDefault="004A5D5E" w:rsidP="00B82A05">
      <w:pPr>
        <w:pStyle w:val="Heading1"/>
      </w:pPr>
      <w:bookmarkStart w:id="6" w:name="_Toc326767648"/>
      <w:r w:rsidRPr="00ED3C77">
        <w:t>Partner</w:t>
      </w:r>
      <w:bookmarkEnd w:id="6"/>
      <w:r>
        <w:t xml:space="preserve"> Countries</w:t>
      </w:r>
      <w:r>
        <w:tab/>
      </w:r>
      <w:r w:rsidRPr="0089453F">
        <w:rPr>
          <w:rStyle w:val="Instructions"/>
          <w:szCs w:val="18"/>
        </w:rPr>
        <w:t xml:space="preserve">all are eligible to participate as </w:t>
      </w:r>
      <w:r>
        <w:rPr>
          <w:rStyle w:val="Instructions"/>
          <w:szCs w:val="18"/>
        </w:rPr>
        <w:t>Speakers or Non-Speakers</w:t>
      </w:r>
    </w:p>
    <w:p w:rsidR="004A5D5E" w:rsidRPr="00B82A05" w:rsidRDefault="004A5D5E" w:rsidP="00B82A05">
      <w:pPr>
        <w:pStyle w:val="Heading2"/>
      </w:pPr>
      <w:r>
        <w:t>Non-speaking participants eligible for up to 100% NATO subsidy</w:t>
      </w:r>
    </w:p>
    <w:p w:rsidR="004A5D5E" w:rsidRDefault="004A5D5E" w:rsidP="0058543C">
      <w:pPr>
        <w:pStyle w:val="Body"/>
      </w:pPr>
      <w:r w:rsidRPr="00ED3C77">
        <w:t>Afghanistan, Algeria, Armenia, Azerbaijan, Bosnia and Herzegovina, Egypt, Georgia, Iraq, Jordan, Kyrgyz Republic, Mauritania, Moldova, Mongolia, Morocco, Pakistan, Tajikistan, Tunisia, Turkmenistan, Ukraine, Uzbekistan.</w:t>
      </w:r>
    </w:p>
    <w:p w:rsidR="004A5D5E" w:rsidRDefault="004A5D5E" w:rsidP="00BE68F3">
      <w:pPr>
        <w:pStyle w:val="Heading2"/>
      </w:pPr>
      <w:r>
        <w:t>Non-speaking participants eligible for up to 80% NATO subsidy</w:t>
      </w:r>
    </w:p>
    <w:p w:rsidR="004A5D5E" w:rsidRDefault="004A5D5E" w:rsidP="0058543C">
      <w:pPr>
        <w:pStyle w:val="Body"/>
      </w:pPr>
      <w:r w:rsidRPr="00ED3C77">
        <w:t>Belarus,</w:t>
      </w:r>
      <w:r w:rsidRPr="00BE68F3">
        <w:t xml:space="preserve"> </w:t>
      </w:r>
      <w:r w:rsidRPr="00ED3C77">
        <w:t>Kazakhstan,</w:t>
      </w:r>
      <w:r w:rsidRPr="00BE68F3">
        <w:t xml:space="preserve"> </w:t>
      </w:r>
      <w:r w:rsidRPr="00ED3C77">
        <w:t>Montenegro,</w:t>
      </w:r>
      <w:r w:rsidRPr="00BE68F3">
        <w:t xml:space="preserve"> </w:t>
      </w:r>
      <w:r w:rsidRPr="00ED3C77">
        <w:t>Serbia,</w:t>
      </w:r>
      <w:r w:rsidRPr="00BE68F3">
        <w:t xml:space="preserve"> </w:t>
      </w:r>
      <w:r w:rsidRPr="00ED3C77">
        <w:t>the former Yugoslav Republic of Macedonia</w:t>
      </w:r>
      <w:r w:rsidRPr="00ED3C77">
        <w:rPr>
          <w:rStyle w:val="FootnoteReference"/>
          <w:rFonts w:cs="Arial"/>
        </w:rPr>
        <w:footnoteReference w:id="2"/>
      </w:r>
      <w:r w:rsidRPr="00ED3C77">
        <w:t>,</w:t>
      </w:r>
    </w:p>
    <w:p w:rsidR="004A5D5E" w:rsidRDefault="004A5D5E" w:rsidP="00BE68F3">
      <w:pPr>
        <w:pStyle w:val="Heading2"/>
      </w:pPr>
      <w:r>
        <w:t>Non-speaking participants not eligible for NATO subsidy</w:t>
      </w:r>
    </w:p>
    <w:p w:rsidR="004A5D5E" w:rsidRDefault="004A5D5E" w:rsidP="00253959">
      <w:pPr>
        <w:pStyle w:val="Body"/>
      </w:pPr>
      <w:r w:rsidRPr="00ED3C77">
        <w:t>Australia, Austria</w:t>
      </w:r>
      <w:r>
        <w:t xml:space="preserve">, </w:t>
      </w:r>
      <w:r w:rsidRPr="00ED3C77">
        <w:t>Bahrain,</w:t>
      </w:r>
      <w:r w:rsidRPr="00BE68F3">
        <w:t xml:space="preserve"> </w:t>
      </w:r>
      <w:r w:rsidRPr="00ED3C77">
        <w:t>Finland,</w:t>
      </w:r>
      <w:r w:rsidRPr="00BE68F3">
        <w:t xml:space="preserve"> </w:t>
      </w:r>
      <w:r w:rsidRPr="00ED3C77">
        <w:t>Ireland, Israel,</w:t>
      </w:r>
      <w:r w:rsidRPr="00BE68F3">
        <w:t xml:space="preserve"> </w:t>
      </w:r>
      <w:r w:rsidRPr="00ED3C77">
        <w:t>Japan,</w:t>
      </w:r>
      <w:r w:rsidRPr="00BE68F3">
        <w:t xml:space="preserve"> </w:t>
      </w:r>
      <w:r w:rsidRPr="00ED3C77">
        <w:t>Kuwait,</w:t>
      </w:r>
      <w:r w:rsidRPr="00BE68F3">
        <w:t xml:space="preserve"> </w:t>
      </w:r>
      <w:r w:rsidRPr="00ED3C77">
        <w:t>Malta,</w:t>
      </w:r>
      <w:r w:rsidRPr="00BE68F3">
        <w:t xml:space="preserve"> </w:t>
      </w:r>
      <w:r w:rsidRPr="00ED3C77">
        <w:t>New Zealand,</w:t>
      </w:r>
      <w:r w:rsidRPr="00BE68F3">
        <w:t xml:space="preserve"> </w:t>
      </w:r>
      <w:r w:rsidRPr="00ED3C77">
        <w:t>Qatar, Republic of Korea, Russian Federation,</w:t>
      </w:r>
      <w:r w:rsidRPr="00BE68F3">
        <w:t xml:space="preserve"> </w:t>
      </w:r>
      <w:r w:rsidRPr="00ED3C77">
        <w:t>Sweden, Switzerland,</w:t>
      </w:r>
      <w:r w:rsidRPr="00BE68F3">
        <w:t xml:space="preserve"> </w:t>
      </w:r>
      <w:r>
        <w:t>United Arab Emirates</w:t>
      </w:r>
    </w:p>
    <w:sectPr w:rsidR="004A5D5E" w:rsidSect="009A2BCD">
      <w:headerReference w:type="even" r:id="rId12"/>
      <w:headerReference w:type="default" r:id="rId13"/>
      <w:footerReference w:type="even" r:id="rId14"/>
      <w:footerReference w:type="default" r:id="rId15"/>
      <w:headerReference w:type="first" r:id="rId16"/>
      <w:footerReference w:type="first" r:id="rId17"/>
      <w:footnotePr>
        <w:numFmt w:val="chicago"/>
        <w:numRestart w:val="eachPage"/>
      </w:footnotePr>
      <w:pgSz w:w="12240" w:h="15840"/>
      <w:pgMar w:top="340" w:right="907" w:bottom="340" w:left="907" w:header="708" w:footer="708" w:gutter="0"/>
      <w:pgNumType w:start="1"/>
      <w:cols w:space="708"/>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5D5E" w:rsidRDefault="004A5D5E">
      <w:r>
        <w:separator/>
      </w:r>
    </w:p>
  </w:endnote>
  <w:endnote w:type="continuationSeparator" w:id="0">
    <w:p w:rsidR="004A5D5E" w:rsidRDefault="004A5D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D5E" w:rsidRDefault="004A5D5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D5E" w:rsidRDefault="004A5D5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D5E" w:rsidRDefault="004A5D5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5D5E" w:rsidRDefault="004A5D5E">
      <w:r>
        <w:separator/>
      </w:r>
    </w:p>
  </w:footnote>
  <w:footnote w:type="continuationSeparator" w:id="0">
    <w:p w:rsidR="004A5D5E" w:rsidRDefault="004A5D5E">
      <w:r>
        <w:continuationSeparator/>
      </w:r>
    </w:p>
  </w:footnote>
  <w:footnote w:id="1">
    <w:p w:rsidR="004A5D5E" w:rsidRDefault="004A5D5E">
      <w:pPr>
        <w:pStyle w:val="FootnoteText"/>
      </w:pPr>
      <w:r w:rsidRPr="00011C0F">
        <w:rPr>
          <w:rStyle w:val="FootnoteReference"/>
          <w:rFonts w:cs="Arial"/>
          <w:lang w:val="en-GB"/>
        </w:rPr>
        <w:footnoteRef/>
      </w:r>
      <w:r w:rsidRPr="00011C0F">
        <w:rPr>
          <w:lang w:val="en-GB"/>
        </w:rPr>
        <w:t xml:space="preserve"> Award payments can be withheld if it becomes known that irregularities have been committed during the organisation of the ARW.</w:t>
      </w:r>
    </w:p>
  </w:footnote>
  <w:footnote w:id="2">
    <w:p w:rsidR="004A5D5E" w:rsidRDefault="004A5D5E" w:rsidP="00BE68F3">
      <w:pPr>
        <w:pStyle w:val="FootnoteText"/>
      </w:pPr>
      <w:r w:rsidRPr="007A0CD3">
        <w:rPr>
          <w:rStyle w:val="FootnoteReference"/>
          <w:rFonts w:cs="Arial"/>
          <w:sz w:val="18"/>
          <w:szCs w:val="18"/>
          <w:lang w:val="en-GB"/>
        </w:rPr>
        <w:footnoteRef/>
      </w:r>
      <w:r w:rsidRPr="007A0CD3">
        <w:rPr>
          <w:sz w:val="18"/>
          <w:szCs w:val="18"/>
          <w:lang w:val="en-GB"/>
        </w:rPr>
        <w:t xml:space="preserve"> Turkey recognises the Republic of Macedonia with its constitutional name.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D5E" w:rsidRDefault="004A5D5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D5E" w:rsidRPr="007C6720" w:rsidRDefault="004A5D5E" w:rsidP="00990AE4">
    <w:pPr>
      <w:pStyle w:val="Header"/>
      <w:tabs>
        <w:tab w:val="clear" w:pos="4320"/>
        <w:tab w:val="clear" w:pos="8640"/>
        <w:tab w:val="center" w:pos="5208"/>
        <w:tab w:val="right" w:pos="9072"/>
        <w:tab w:val="right" w:pos="10348"/>
      </w:tabs>
      <w:spacing w:after="120"/>
      <w:rPr>
        <w:rStyle w:val="Instructions"/>
        <w:rFonts w:ascii="Arial" w:hAnsi="Arial" w:cs="Arial"/>
        <w:color w:val="FF0000"/>
        <w:szCs w:val="18"/>
      </w:rPr>
    </w:pPr>
    <w:r>
      <w:rPr>
        <w:rStyle w:val="Instructions"/>
        <w:rFonts w:ascii="Arial" w:hAnsi="Arial" w:cs="Arial"/>
        <w:szCs w:val="18"/>
      </w:rPr>
      <w:t>Title, Co-Directors</w:t>
    </w:r>
    <w:r>
      <w:rPr>
        <w:rStyle w:val="Instructions"/>
        <w:rFonts w:ascii="Arial" w:hAnsi="Arial" w:cs="Arial"/>
        <w:szCs w:val="18"/>
      </w:rPr>
      <w:tab/>
    </w:r>
    <w:r w:rsidRPr="00E61B94">
      <w:rPr>
        <w:rFonts w:ascii="Arial" w:hAnsi="Arial" w:cs="Arial"/>
        <w:b/>
        <w:color w:val="008000"/>
        <w:szCs w:val="18"/>
      </w:rPr>
      <w:t>ARW application</w:t>
    </w:r>
    <w:r w:rsidRPr="004E3850">
      <w:rPr>
        <w:rStyle w:val="Instructions"/>
        <w:rFonts w:ascii="Arial" w:hAnsi="Arial" w:cs="Arial"/>
        <w:szCs w:val="18"/>
      </w:rPr>
      <w:tab/>
    </w:r>
    <w:r>
      <w:rPr>
        <w:rFonts w:ascii="Arial" w:hAnsi="Arial" w:cs="Arial"/>
        <w:b/>
        <w:color w:val="6DABD9"/>
        <w:szCs w:val="18"/>
      </w:rPr>
      <w:t>NATO Internal Use</w:t>
    </w:r>
    <w:r>
      <w:rPr>
        <w:rFonts w:ascii="Arial" w:hAnsi="Arial" w:cs="Arial"/>
        <w:b/>
        <w:color w:val="6DABD9"/>
        <w:szCs w:val="18"/>
      </w:rPr>
      <w:tab/>
    </w:r>
    <w:r w:rsidRPr="007C6720">
      <w:rPr>
        <w:rFonts w:ascii="Arial" w:hAnsi="Arial" w:cs="Arial"/>
        <w:b/>
        <w:color w:val="FF0000"/>
        <w:szCs w:val="18"/>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D5E" w:rsidRDefault="004A5D5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30170"/>
    <w:multiLevelType w:val="hybridMultilevel"/>
    <w:tmpl w:val="925E8A22"/>
    <w:lvl w:ilvl="0" w:tplc="0409000F">
      <w:start w:val="1"/>
      <w:numFmt w:val="decimal"/>
      <w:lvlText w:val="%1."/>
      <w:lvlJc w:val="left"/>
      <w:pPr>
        <w:tabs>
          <w:tab w:val="num" w:pos="442"/>
        </w:tabs>
        <w:ind w:left="442" w:hanging="360"/>
      </w:pPr>
      <w:rPr>
        <w:rFonts w:cs="Times New Roman"/>
      </w:rPr>
    </w:lvl>
    <w:lvl w:ilvl="1" w:tplc="04090019" w:tentative="1">
      <w:start w:val="1"/>
      <w:numFmt w:val="lowerLetter"/>
      <w:lvlText w:val="%2."/>
      <w:lvlJc w:val="left"/>
      <w:pPr>
        <w:tabs>
          <w:tab w:val="num" w:pos="1162"/>
        </w:tabs>
        <w:ind w:left="1162" w:hanging="360"/>
      </w:pPr>
      <w:rPr>
        <w:rFonts w:cs="Times New Roman"/>
      </w:rPr>
    </w:lvl>
    <w:lvl w:ilvl="2" w:tplc="0409001B" w:tentative="1">
      <w:start w:val="1"/>
      <w:numFmt w:val="lowerRoman"/>
      <w:lvlText w:val="%3."/>
      <w:lvlJc w:val="right"/>
      <w:pPr>
        <w:tabs>
          <w:tab w:val="num" w:pos="1882"/>
        </w:tabs>
        <w:ind w:left="1882" w:hanging="180"/>
      </w:pPr>
      <w:rPr>
        <w:rFonts w:cs="Times New Roman"/>
      </w:rPr>
    </w:lvl>
    <w:lvl w:ilvl="3" w:tplc="0409000F" w:tentative="1">
      <w:start w:val="1"/>
      <w:numFmt w:val="decimal"/>
      <w:lvlText w:val="%4."/>
      <w:lvlJc w:val="left"/>
      <w:pPr>
        <w:tabs>
          <w:tab w:val="num" w:pos="2602"/>
        </w:tabs>
        <w:ind w:left="2602" w:hanging="360"/>
      </w:pPr>
      <w:rPr>
        <w:rFonts w:cs="Times New Roman"/>
      </w:rPr>
    </w:lvl>
    <w:lvl w:ilvl="4" w:tplc="04090019" w:tentative="1">
      <w:start w:val="1"/>
      <w:numFmt w:val="lowerLetter"/>
      <w:lvlText w:val="%5."/>
      <w:lvlJc w:val="left"/>
      <w:pPr>
        <w:tabs>
          <w:tab w:val="num" w:pos="3322"/>
        </w:tabs>
        <w:ind w:left="3322" w:hanging="360"/>
      </w:pPr>
      <w:rPr>
        <w:rFonts w:cs="Times New Roman"/>
      </w:rPr>
    </w:lvl>
    <w:lvl w:ilvl="5" w:tplc="0409001B" w:tentative="1">
      <w:start w:val="1"/>
      <w:numFmt w:val="lowerRoman"/>
      <w:lvlText w:val="%6."/>
      <w:lvlJc w:val="right"/>
      <w:pPr>
        <w:tabs>
          <w:tab w:val="num" w:pos="4042"/>
        </w:tabs>
        <w:ind w:left="4042" w:hanging="180"/>
      </w:pPr>
      <w:rPr>
        <w:rFonts w:cs="Times New Roman"/>
      </w:rPr>
    </w:lvl>
    <w:lvl w:ilvl="6" w:tplc="0409000F" w:tentative="1">
      <w:start w:val="1"/>
      <w:numFmt w:val="decimal"/>
      <w:lvlText w:val="%7."/>
      <w:lvlJc w:val="left"/>
      <w:pPr>
        <w:tabs>
          <w:tab w:val="num" w:pos="4762"/>
        </w:tabs>
        <w:ind w:left="4762" w:hanging="360"/>
      </w:pPr>
      <w:rPr>
        <w:rFonts w:cs="Times New Roman"/>
      </w:rPr>
    </w:lvl>
    <w:lvl w:ilvl="7" w:tplc="04090019" w:tentative="1">
      <w:start w:val="1"/>
      <w:numFmt w:val="lowerLetter"/>
      <w:lvlText w:val="%8."/>
      <w:lvlJc w:val="left"/>
      <w:pPr>
        <w:tabs>
          <w:tab w:val="num" w:pos="5482"/>
        </w:tabs>
        <w:ind w:left="5482" w:hanging="360"/>
      </w:pPr>
      <w:rPr>
        <w:rFonts w:cs="Times New Roman"/>
      </w:rPr>
    </w:lvl>
    <w:lvl w:ilvl="8" w:tplc="0409001B" w:tentative="1">
      <w:start w:val="1"/>
      <w:numFmt w:val="lowerRoman"/>
      <w:lvlText w:val="%9."/>
      <w:lvlJc w:val="right"/>
      <w:pPr>
        <w:tabs>
          <w:tab w:val="num" w:pos="6202"/>
        </w:tabs>
        <w:ind w:left="6202" w:hanging="180"/>
      </w:pPr>
      <w:rPr>
        <w:rFonts w:cs="Times New Roman"/>
      </w:rPr>
    </w:lvl>
  </w:abstractNum>
  <w:abstractNum w:abstractNumId="1">
    <w:nsid w:val="09D55A29"/>
    <w:multiLevelType w:val="hybridMultilevel"/>
    <w:tmpl w:val="48D8086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21AF7C0E"/>
    <w:multiLevelType w:val="hybridMultilevel"/>
    <w:tmpl w:val="44E0C396"/>
    <w:lvl w:ilvl="0" w:tplc="C034FF34">
      <w:start w:val="1"/>
      <w:numFmt w:val="bulle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51B261E1"/>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
    <w:nsid w:val="54AB5B48"/>
    <w:multiLevelType w:val="hybridMultilevel"/>
    <w:tmpl w:val="0EE842FE"/>
    <w:lvl w:ilvl="0" w:tplc="5DD2D3A8">
      <w:start w:val="1"/>
      <w:numFmt w:val="bullet"/>
      <w:pStyle w:val="BulletLis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810327C"/>
    <w:multiLevelType w:val="hybridMultilevel"/>
    <w:tmpl w:val="0520F9E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73280DA3"/>
    <w:multiLevelType w:val="hybridMultilevel"/>
    <w:tmpl w:val="D5884DB2"/>
    <w:lvl w:ilvl="0" w:tplc="BC6AAE7E">
      <w:start w:val="1"/>
      <w:numFmt w:val="decimal"/>
      <w:lvlText w:val="Annex %1: "/>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4"/>
  </w:num>
  <w:num w:numId="3">
    <w:abstractNumId w:val="3"/>
  </w:num>
  <w:num w:numId="4">
    <w:abstractNumId w:val="6"/>
  </w:num>
  <w:num w:numId="5">
    <w:abstractNumId w:val="2"/>
  </w:num>
  <w:num w:numId="6">
    <w:abstractNumId w:val="0"/>
  </w:num>
  <w:num w:numId="7">
    <w:abstractNumId w:val="5"/>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embedSystemFonts/>
  <w:stylePaneFormatFilter w:val="30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footnotePr>
    <w:numFmt w:val="chicago"/>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IPSpeechSession$" w:val="FALSE"/>
    <w:docVar w:name="IPSpeechSessionSaved$" w:val="FALSE"/>
  </w:docVars>
  <w:rsids>
    <w:rsidRoot w:val="0065281B"/>
    <w:rsid w:val="000008F8"/>
    <w:rsid w:val="000023DD"/>
    <w:rsid w:val="00003ED3"/>
    <w:rsid w:val="00005040"/>
    <w:rsid w:val="00007056"/>
    <w:rsid w:val="00011C0F"/>
    <w:rsid w:val="000120B1"/>
    <w:rsid w:val="00013244"/>
    <w:rsid w:val="00014218"/>
    <w:rsid w:val="000170E1"/>
    <w:rsid w:val="0002231D"/>
    <w:rsid w:val="0002314E"/>
    <w:rsid w:val="00031147"/>
    <w:rsid w:val="00031E75"/>
    <w:rsid w:val="000327F1"/>
    <w:rsid w:val="00036812"/>
    <w:rsid w:val="00036889"/>
    <w:rsid w:val="00041523"/>
    <w:rsid w:val="000418B7"/>
    <w:rsid w:val="000448C7"/>
    <w:rsid w:val="00045553"/>
    <w:rsid w:val="00052032"/>
    <w:rsid w:val="000543E5"/>
    <w:rsid w:val="00060580"/>
    <w:rsid w:val="00060677"/>
    <w:rsid w:val="00061753"/>
    <w:rsid w:val="00062DD1"/>
    <w:rsid w:val="00065BE8"/>
    <w:rsid w:val="000662ED"/>
    <w:rsid w:val="00067D35"/>
    <w:rsid w:val="000774D8"/>
    <w:rsid w:val="00077616"/>
    <w:rsid w:val="00077890"/>
    <w:rsid w:val="00080477"/>
    <w:rsid w:val="00084F7E"/>
    <w:rsid w:val="00087C24"/>
    <w:rsid w:val="00090D7A"/>
    <w:rsid w:val="00091ACD"/>
    <w:rsid w:val="00093749"/>
    <w:rsid w:val="000956E6"/>
    <w:rsid w:val="00096E7A"/>
    <w:rsid w:val="000A0337"/>
    <w:rsid w:val="000A1936"/>
    <w:rsid w:val="000A1E6E"/>
    <w:rsid w:val="000A557F"/>
    <w:rsid w:val="000A5DB2"/>
    <w:rsid w:val="000A765D"/>
    <w:rsid w:val="000B2CA0"/>
    <w:rsid w:val="000B39E1"/>
    <w:rsid w:val="000B44B4"/>
    <w:rsid w:val="000B4C9C"/>
    <w:rsid w:val="000C4859"/>
    <w:rsid w:val="000C5B37"/>
    <w:rsid w:val="000C6317"/>
    <w:rsid w:val="000C637F"/>
    <w:rsid w:val="000C6EB4"/>
    <w:rsid w:val="000D422D"/>
    <w:rsid w:val="000E384C"/>
    <w:rsid w:val="000F1785"/>
    <w:rsid w:val="000F3B50"/>
    <w:rsid w:val="000F45D8"/>
    <w:rsid w:val="000F7A4F"/>
    <w:rsid w:val="0010028C"/>
    <w:rsid w:val="0010054E"/>
    <w:rsid w:val="00100BF0"/>
    <w:rsid w:val="001037F5"/>
    <w:rsid w:val="001040AD"/>
    <w:rsid w:val="00105E46"/>
    <w:rsid w:val="001131B2"/>
    <w:rsid w:val="00114082"/>
    <w:rsid w:val="0011710D"/>
    <w:rsid w:val="001211BF"/>
    <w:rsid w:val="0012171D"/>
    <w:rsid w:val="001256C6"/>
    <w:rsid w:val="001260B4"/>
    <w:rsid w:val="00130154"/>
    <w:rsid w:val="0013699F"/>
    <w:rsid w:val="00141BBE"/>
    <w:rsid w:val="00147958"/>
    <w:rsid w:val="00151315"/>
    <w:rsid w:val="0016384F"/>
    <w:rsid w:val="00171CC4"/>
    <w:rsid w:val="00187EDF"/>
    <w:rsid w:val="00190529"/>
    <w:rsid w:val="0019308A"/>
    <w:rsid w:val="001A4B39"/>
    <w:rsid w:val="001B00A9"/>
    <w:rsid w:val="001B0AE2"/>
    <w:rsid w:val="001C681B"/>
    <w:rsid w:val="001C7899"/>
    <w:rsid w:val="001D204F"/>
    <w:rsid w:val="001D218C"/>
    <w:rsid w:val="001D3D23"/>
    <w:rsid w:val="001D5493"/>
    <w:rsid w:val="001D7800"/>
    <w:rsid w:val="001E2F7F"/>
    <w:rsid w:val="001E6C71"/>
    <w:rsid w:val="00200FE4"/>
    <w:rsid w:val="002029C4"/>
    <w:rsid w:val="002107CB"/>
    <w:rsid w:val="00210EF9"/>
    <w:rsid w:val="002120D9"/>
    <w:rsid w:val="00213852"/>
    <w:rsid w:val="00215D1D"/>
    <w:rsid w:val="002166F2"/>
    <w:rsid w:val="00222C74"/>
    <w:rsid w:val="00227AC0"/>
    <w:rsid w:val="0023155D"/>
    <w:rsid w:val="0023427D"/>
    <w:rsid w:val="00234914"/>
    <w:rsid w:val="002419A8"/>
    <w:rsid w:val="00243326"/>
    <w:rsid w:val="00247CD3"/>
    <w:rsid w:val="002535BF"/>
    <w:rsid w:val="00253959"/>
    <w:rsid w:val="00256EB8"/>
    <w:rsid w:val="002635D6"/>
    <w:rsid w:val="00264875"/>
    <w:rsid w:val="0026574B"/>
    <w:rsid w:val="00266DE9"/>
    <w:rsid w:val="00270D8F"/>
    <w:rsid w:val="00273D61"/>
    <w:rsid w:val="0027635A"/>
    <w:rsid w:val="002812DC"/>
    <w:rsid w:val="00281A9A"/>
    <w:rsid w:val="0028200D"/>
    <w:rsid w:val="002824F3"/>
    <w:rsid w:val="00291CB9"/>
    <w:rsid w:val="00291CDE"/>
    <w:rsid w:val="00294FCC"/>
    <w:rsid w:val="00297CE7"/>
    <w:rsid w:val="00297D4D"/>
    <w:rsid w:val="002A2622"/>
    <w:rsid w:val="002A3904"/>
    <w:rsid w:val="002A5A97"/>
    <w:rsid w:val="002B0084"/>
    <w:rsid w:val="002B102C"/>
    <w:rsid w:val="002B10AD"/>
    <w:rsid w:val="002B208F"/>
    <w:rsid w:val="002B75F1"/>
    <w:rsid w:val="002C3B76"/>
    <w:rsid w:val="002C4BD1"/>
    <w:rsid w:val="002C634C"/>
    <w:rsid w:val="002D07F4"/>
    <w:rsid w:val="002D09D8"/>
    <w:rsid w:val="002D1DCD"/>
    <w:rsid w:val="002E2841"/>
    <w:rsid w:val="002E3DF2"/>
    <w:rsid w:val="002F5B07"/>
    <w:rsid w:val="003002B1"/>
    <w:rsid w:val="00301B0C"/>
    <w:rsid w:val="00301EE3"/>
    <w:rsid w:val="00306E1A"/>
    <w:rsid w:val="00311667"/>
    <w:rsid w:val="00321B29"/>
    <w:rsid w:val="00323B8A"/>
    <w:rsid w:val="00323F29"/>
    <w:rsid w:val="00327597"/>
    <w:rsid w:val="0033182F"/>
    <w:rsid w:val="003370FE"/>
    <w:rsid w:val="00340AA9"/>
    <w:rsid w:val="00341BD2"/>
    <w:rsid w:val="00355477"/>
    <w:rsid w:val="003572EA"/>
    <w:rsid w:val="00360ABC"/>
    <w:rsid w:val="00360DAA"/>
    <w:rsid w:val="003628F6"/>
    <w:rsid w:val="0037305A"/>
    <w:rsid w:val="003752DD"/>
    <w:rsid w:val="00375D16"/>
    <w:rsid w:val="00381F72"/>
    <w:rsid w:val="003825E2"/>
    <w:rsid w:val="00382A44"/>
    <w:rsid w:val="0038437E"/>
    <w:rsid w:val="00387C72"/>
    <w:rsid w:val="00387FC6"/>
    <w:rsid w:val="00387FF4"/>
    <w:rsid w:val="00390D35"/>
    <w:rsid w:val="00390EF0"/>
    <w:rsid w:val="0039404D"/>
    <w:rsid w:val="003A4D2C"/>
    <w:rsid w:val="003A4DB9"/>
    <w:rsid w:val="003A5C42"/>
    <w:rsid w:val="003B058A"/>
    <w:rsid w:val="003B7AF5"/>
    <w:rsid w:val="003C2685"/>
    <w:rsid w:val="003D033D"/>
    <w:rsid w:val="003D1ACC"/>
    <w:rsid w:val="003D32FC"/>
    <w:rsid w:val="003D6940"/>
    <w:rsid w:val="003D74F6"/>
    <w:rsid w:val="003E43EB"/>
    <w:rsid w:val="003E691C"/>
    <w:rsid w:val="003F0AFC"/>
    <w:rsid w:val="003F5644"/>
    <w:rsid w:val="00402B9D"/>
    <w:rsid w:val="00403F36"/>
    <w:rsid w:val="00404303"/>
    <w:rsid w:val="004050ED"/>
    <w:rsid w:val="00413A8A"/>
    <w:rsid w:val="004202FF"/>
    <w:rsid w:val="004247B0"/>
    <w:rsid w:val="00425834"/>
    <w:rsid w:val="00425C84"/>
    <w:rsid w:val="004267B4"/>
    <w:rsid w:val="00430320"/>
    <w:rsid w:val="004319DE"/>
    <w:rsid w:val="00436E03"/>
    <w:rsid w:val="00437F88"/>
    <w:rsid w:val="00441C90"/>
    <w:rsid w:val="00441D6D"/>
    <w:rsid w:val="00442CF6"/>
    <w:rsid w:val="0044719A"/>
    <w:rsid w:val="004540B7"/>
    <w:rsid w:val="0045471F"/>
    <w:rsid w:val="004575D8"/>
    <w:rsid w:val="00457F79"/>
    <w:rsid w:val="004719C1"/>
    <w:rsid w:val="00481982"/>
    <w:rsid w:val="004827CC"/>
    <w:rsid w:val="0048296E"/>
    <w:rsid w:val="0049025F"/>
    <w:rsid w:val="00490E0F"/>
    <w:rsid w:val="004A1E84"/>
    <w:rsid w:val="004A5D5E"/>
    <w:rsid w:val="004B4EE4"/>
    <w:rsid w:val="004B675C"/>
    <w:rsid w:val="004C0734"/>
    <w:rsid w:val="004C1B1C"/>
    <w:rsid w:val="004C3106"/>
    <w:rsid w:val="004C352A"/>
    <w:rsid w:val="004C7B6D"/>
    <w:rsid w:val="004D2036"/>
    <w:rsid w:val="004D2246"/>
    <w:rsid w:val="004E3850"/>
    <w:rsid w:val="004E4E50"/>
    <w:rsid w:val="004E5520"/>
    <w:rsid w:val="004F5173"/>
    <w:rsid w:val="004F52AC"/>
    <w:rsid w:val="00500649"/>
    <w:rsid w:val="00501816"/>
    <w:rsid w:val="00510608"/>
    <w:rsid w:val="005126FA"/>
    <w:rsid w:val="005127C6"/>
    <w:rsid w:val="00516A21"/>
    <w:rsid w:val="005172D3"/>
    <w:rsid w:val="00523CBA"/>
    <w:rsid w:val="0052481E"/>
    <w:rsid w:val="00532532"/>
    <w:rsid w:val="0053752C"/>
    <w:rsid w:val="00540EC3"/>
    <w:rsid w:val="00542DCB"/>
    <w:rsid w:val="00552F7D"/>
    <w:rsid w:val="00554496"/>
    <w:rsid w:val="00562458"/>
    <w:rsid w:val="005639E6"/>
    <w:rsid w:val="005646DA"/>
    <w:rsid w:val="00571145"/>
    <w:rsid w:val="005729AA"/>
    <w:rsid w:val="00575D2D"/>
    <w:rsid w:val="00580F05"/>
    <w:rsid w:val="005811BB"/>
    <w:rsid w:val="005815AA"/>
    <w:rsid w:val="005822AE"/>
    <w:rsid w:val="0058543C"/>
    <w:rsid w:val="00591B51"/>
    <w:rsid w:val="00592271"/>
    <w:rsid w:val="00592CC2"/>
    <w:rsid w:val="00593E0C"/>
    <w:rsid w:val="00595B3F"/>
    <w:rsid w:val="0059683F"/>
    <w:rsid w:val="00597A00"/>
    <w:rsid w:val="005B0F23"/>
    <w:rsid w:val="005B1C26"/>
    <w:rsid w:val="005C3256"/>
    <w:rsid w:val="005C45A7"/>
    <w:rsid w:val="005C6712"/>
    <w:rsid w:val="005C67BA"/>
    <w:rsid w:val="005C748A"/>
    <w:rsid w:val="005D1680"/>
    <w:rsid w:val="005D6CC9"/>
    <w:rsid w:val="005D7886"/>
    <w:rsid w:val="005E13FC"/>
    <w:rsid w:val="005E166F"/>
    <w:rsid w:val="005E22D1"/>
    <w:rsid w:val="005E34F7"/>
    <w:rsid w:val="005E5EF6"/>
    <w:rsid w:val="0060017D"/>
    <w:rsid w:val="0060522A"/>
    <w:rsid w:val="00607F0A"/>
    <w:rsid w:val="006213BC"/>
    <w:rsid w:val="006306B4"/>
    <w:rsid w:val="00632C42"/>
    <w:rsid w:val="00640ADA"/>
    <w:rsid w:val="006425B4"/>
    <w:rsid w:val="00643669"/>
    <w:rsid w:val="00644C2E"/>
    <w:rsid w:val="0065281B"/>
    <w:rsid w:val="00652D75"/>
    <w:rsid w:val="00653E28"/>
    <w:rsid w:val="00664B0A"/>
    <w:rsid w:val="00666BDE"/>
    <w:rsid w:val="00667D45"/>
    <w:rsid w:val="006740E2"/>
    <w:rsid w:val="00677FAD"/>
    <w:rsid w:val="00683278"/>
    <w:rsid w:val="00684E81"/>
    <w:rsid w:val="006971CC"/>
    <w:rsid w:val="006B1CB2"/>
    <w:rsid w:val="006B4EDE"/>
    <w:rsid w:val="006B6311"/>
    <w:rsid w:val="006B6F49"/>
    <w:rsid w:val="006C024D"/>
    <w:rsid w:val="006C060B"/>
    <w:rsid w:val="006C0A92"/>
    <w:rsid w:val="006D78EB"/>
    <w:rsid w:val="006E0E43"/>
    <w:rsid w:val="006E3ED4"/>
    <w:rsid w:val="006F4E69"/>
    <w:rsid w:val="006F52EE"/>
    <w:rsid w:val="006F6426"/>
    <w:rsid w:val="006F6B6C"/>
    <w:rsid w:val="006F7A9C"/>
    <w:rsid w:val="0070062D"/>
    <w:rsid w:val="0071240C"/>
    <w:rsid w:val="00720D5F"/>
    <w:rsid w:val="00722260"/>
    <w:rsid w:val="007249F1"/>
    <w:rsid w:val="00724B10"/>
    <w:rsid w:val="00735B61"/>
    <w:rsid w:val="00737A29"/>
    <w:rsid w:val="00744D77"/>
    <w:rsid w:val="00751084"/>
    <w:rsid w:val="00751F7E"/>
    <w:rsid w:val="00756002"/>
    <w:rsid w:val="00773324"/>
    <w:rsid w:val="00775813"/>
    <w:rsid w:val="007768E9"/>
    <w:rsid w:val="0077721E"/>
    <w:rsid w:val="00787956"/>
    <w:rsid w:val="00793F0F"/>
    <w:rsid w:val="007946EC"/>
    <w:rsid w:val="007A0CD3"/>
    <w:rsid w:val="007A2BFC"/>
    <w:rsid w:val="007B1E5B"/>
    <w:rsid w:val="007B3917"/>
    <w:rsid w:val="007B3C6F"/>
    <w:rsid w:val="007B6156"/>
    <w:rsid w:val="007B6D76"/>
    <w:rsid w:val="007B6E23"/>
    <w:rsid w:val="007C158A"/>
    <w:rsid w:val="007C1A1E"/>
    <w:rsid w:val="007C1BE9"/>
    <w:rsid w:val="007C3149"/>
    <w:rsid w:val="007C4503"/>
    <w:rsid w:val="007C4DA2"/>
    <w:rsid w:val="007C5157"/>
    <w:rsid w:val="007C56CF"/>
    <w:rsid w:val="007C6720"/>
    <w:rsid w:val="007C6AEB"/>
    <w:rsid w:val="007D4D00"/>
    <w:rsid w:val="007D6EEC"/>
    <w:rsid w:val="007E272C"/>
    <w:rsid w:val="007E4B8F"/>
    <w:rsid w:val="007E5AD4"/>
    <w:rsid w:val="007E5B86"/>
    <w:rsid w:val="007F10F0"/>
    <w:rsid w:val="007F1C5A"/>
    <w:rsid w:val="007F2689"/>
    <w:rsid w:val="007F4776"/>
    <w:rsid w:val="007F718B"/>
    <w:rsid w:val="00801968"/>
    <w:rsid w:val="00803E52"/>
    <w:rsid w:val="008058EF"/>
    <w:rsid w:val="008061C4"/>
    <w:rsid w:val="008127E0"/>
    <w:rsid w:val="008169B1"/>
    <w:rsid w:val="00820480"/>
    <w:rsid w:val="008207C6"/>
    <w:rsid w:val="00820DA9"/>
    <w:rsid w:val="008273C9"/>
    <w:rsid w:val="00827F1D"/>
    <w:rsid w:val="008340FD"/>
    <w:rsid w:val="008362CE"/>
    <w:rsid w:val="00843EAD"/>
    <w:rsid w:val="0085168C"/>
    <w:rsid w:val="0085471E"/>
    <w:rsid w:val="00855958"/>
    <w:rsid w:val="00856B18"/>
    <w:rsid w:val="00860881"/>
    <w:rsid w:val="008631D5"/>
    <w:rsid w:val="00864B2F"/>
    <w:rsid w:val="00867361"/>
    <w:rsid w:val="00867511"/>
    <w:rsid w:val="00870339"/>
    <w:rsid w:val="008734B0"/>
    <w:rsid w:val="00880A25"/>
    <w:rsid w:val="0088327D"/>
    <w:rsid w:val="00886FDD"/>
    <w:rsid w:val="0089453F"/>
    <w:rsid w:val="008A0E43"/>
    <w:rsid w:val="008A2F07"/>
    <w:rsid w:val="008B055C"/>
    <w:rsid w:val="008B3747"/>
    <w:rsid w:val="008D7A91"/>
    <w:rsid w:val="008E32AD"/>
    <w:rsid w:val="008E4F99"/>
    <w:rsid w:val="008E68BA"/>
    <w:rsid w:val="008F1098"/>
    <w:rsid w:val="008F3703"/>
    <w:rsid w:val="008F3E6E"/>
    <w:rsid w:val="008F4D73"/>
    <w:rsid w:val="008F7E7A"/>
    <w:rsid w:val="0090066A"/>
    <w:rsid w:val="00900CE3"/>
    <w:rsid w:val="0091218E"/>
    <w:rsid w:val="00912A20"/>
    <w:rsid w:val="0091651F"/>
    <w:rsid w:val="0091778E"/>
    <w:rsid w:val="00917B9E"/>
    <w:rsid w:val="00922727"/>
    <w:rsid w:val="00923FC5"/>
    <w:rsid w:val="00926D68"/>
    <w:rsid w:val="00933846"/>
    <w:rsid w:val="00935C7E"/>
    <w:rsid w:val="009424BE"/>
    <w:rsid w:val="009457D2"/>
    <w:rsid w:val="009472A1"/>
    <w:rsid w:val="00947851"/>
    <w:rsid w:val="0095081D"/>
    <w:rsid w:val="00952AEA"/>
    <w:rsid w:val="00952B70"/>
    <w:rsid w:val="0095391D"/>
    <w:rsid w:val="009543F7"/>
    <w:rsid w:val="009550AD"/>
    <w:rsid w:val="0095527D"/>
    <w:rsid w:val="00955FFF"/>
    <w:rsid w:val="0095713F"/>
    <w:rsid w:val="00960957"/>
    <w:rsid w:val="0096125D"/>
    <w:rsid w:val="00963B53"/>
    <w:rsid w:val="009650CB"/>
    <w:rsid w:val="0096560F"/>
    <w:rsid w:val="00966470"/>
    <w:rsid w:val="00967240"/>
    <w:rsid w:val="00971760"/>
    <w:rsid w:val="0097281F"/>
    <w:rsid w:val="00981372"/>
    <w:rsid w:val="0099067B"/>
    <w:rsid w:val="00990AE4"/>
    <w:rsid w:val="00990FFB"/>
    <w:rsid w:val="00992DE7"/>
    <w:rsid w:val="00993D26"/>
    <w:rsid w:val="00994BB9"/>
    <w:rsid w:val="00996A3E"/>
    <w:rsid w:val="009A2BCD"/>
    <w:rsid w:val="009A44F1"/>
    <w:rsid w:val="009A6AB7"/>
    <w:rsid w:val="009B7DE9"/>
    <w:rsid w:val="009C16F2"/>
    <w:rsid w:val="009C74EC"/>
    <w:rsid w:val="009D25EC"/>
    <w:rsid w:val="009E0AC3"/>
    <w:rsid w:val="009E0E0F"/>
    <w:rsid w:val="009F0267"/>
    <w:rsid w:val="009F26D1"/>
    <w:rsid w:val="00A02B1C"/>
    <w:rsid w:val="00A03C68"/>
    <w:rsid w:val="00A0427C"/>
    <w:rsid w:val="00A04672"/>
    <w:rsid w:val="00A075FF"/>
    <w:rsid w:val="00A07EE6"/>
    <w:rsid w:val="00A1152D"/>
    <w:rsid w:val="00A14652"/>
    <w:rsid w:val="00A203DD"/>
    <w:rsid w:val="00A21B3E"/>
    <w:rsid w:val="00A3433F"/>
    <w:rsid w:val="00A43BF4"/>
    <w:rsid w:val="00A50303"/>
    <w:rsid w:val="00A60A77"/>
    <w:rsid w:val="00A621E7"/>
    <w:rsid w:val="00A64438"/>
    <w:rsid w:val="00A662C2"/>
    <w:rsid w:val="00A67D78"/>
    <w:rsid w:val="00A72562"/>
    <w:rsid w:val="00A727DC"/>
    <w:rsid w:val="00A73A8B"/>
    <w:rsid w:val="00A77FF9"/>
    <w:rsid w:val="00A81CB9"/>
    <w:rsid w:val="00A81EF9"/>
    <w:rsid w:val="00A906FC"/>
    <w:rsid w:val="00A93EBD"/>
    <w:rsid w:val="00A967AD"/>
    <w:rsid w:val="00AA69DB"/>
    <w:rsid w:val="00AC13E2"/>
    <w:rsid w:val="00AC5B14"/>
    <w:rsid w:val="00AD3C4C"/>
    <w:rsid w:val="00AD3EE2"/>
    <w:rsid w:val="00AD54EC"/>
    <w:rsid w:val="00AD5EB4"/>
    <w:rsid w:val="00AE4689"/>
    <w:rsid w:val="00AF3F0C"/>
    <w:rsid w:val="00AF7AC5"/>
    <w:rsid w:val="00B03E7B"/>
    <w:rsid w:val="00B0478E"/>
    <w:rsid w:val="00B207AA"/>
    <w:rsid w:val="00B2383D"/>
    <w:rsid w:val="00B23907"/>
    <w:rsid w:val="00B25DB2"/>
    <w:rsid w:val="00B31408"/>
    <w:rsid w:val="00B42762"/>
    <w:rsid w:val="00B4739D"/>
    <w:rsid w:val="00B520BB"/>
    <w:rsid w:val="00B579FC"/>
    <w:rsid w:val="00B60D1B"/>
    <w:rsid w:val="00B62169"/>
    <w:rsid w:val="00B635A5"/>
    <w:rsid w:val="00B64F3D"/>
    <w:rsid w:val="00B66AD7"/>
    <w:rsid w:val="00B7351B"/>
    <w:rsid w:val="00B76950"/>
    <w:rsid w:val="00B82A05"/>
    <w:rsid w:val="00B82B27"/>
    <w:rsid w:val="00B9051F"/>
    <w:rsid w:val="00B93E33"/>
    <w:rsid w:val="00B96F7D"/>
    <w:rsid w:val="00BA349A"/>
    <w:rsid w:val="00BA6F17"/>
    <w:rsid w:val="00BB29D2"/>
    <w:rsid w:val="00BC1AA8"/>
    <w:rsid w:val="00BC473F"/>
    <w:rsid w:val="00BD2A50"/>
    <w:rsid w:val="00BD50F2"/>
    <w:rsid w:val="00BD6B46"/>
    <w:rsid w:val="00BE1FBA"/>
    <w:rsid w:val="00BE68F3"/>
    <w:rsid w:val="00BF3B65"/>
    <w:rsid w:val="00BF7DA6"/>
    <w:rsid w:val="00C01989"/>
    <w:rsid w:val="00C030B7"/>
    <w:rsid w:val="00C03F27"/>
    <w:rsid w:val="00C04D82"/>
    <w:rsid w:val="00C112C4"/>
    <w:rsid w:val="00C120A6"/>
    <w:rsid w:val="00C12B75"/>
    <w:rsid w:val="00C17795"/>
    <w:rsid w:val="00C212BB"/>
    <w:rsid w:val="00C31A37"/>
    <w:rsid w:val="00C3366D"/>
    <w:rsid w:val="00C351F8"/>
    <w:rsid w:val="00C35C27"/>
    <w:rsid w:val="00C40B10"/>
    <w:rsid w:val="00C426F1"/>
    <w:rsid w:val="00C43095"/>
    <w:rsid w:val="00C450B3"/>
    <w:rsid w:val="00C524FF"/>
    <w:rsid w:val="00C53AD0"/>
    <w:rsid w:val="00C55180"/>
    <w:rsid w:val="00C55BFF"/>
    <w:rsid w:val="00C62DC1"/>
    <w:rsid w:val="00C6669E"/>
    <w:rsid w:val="00C72182"/>
    <w:rsid w:val="00C7592F"/>
    <w:rsid w:val="00C75DC1"/>
    <w:rsid w:val="00C76053"/>
    <w:rsid w:val="00C76528"/>
    <w:rsid w:val="00C76AB7"/>
    <w:rsid w:val="00C77764"/>
    <w:rsid w:val="00C81BC7"/>
    <w:rsid w:val="00C836F6"/>
    <w:rsid w:val="00C84084"/>
    <w:rsid w:val="00C901BA"/>
    <w:rsid w:val="00C93F59"/>
    <w:rsid w:val="00CC1700"/>
    <w:rsid w:val="00CC2EFB"/>
    <w:rsid w:val="00CC461F"/>
    <w:rsid w:val="00CD23DA"/>
    <w:rsid w:val="00CD279B"/>
    <w:rsid w:val="00CD63EE"/>
    <w:rsid w:val="00CE6729"/>
    <w:rsid w:val="00CE6F4E"/>
    <w:rsid w:val="00CE72F9"/>
    <w:rsid w:val="00CE7F69"/>
    <w:rsid w:val="00CF49D0"/>
    <w:rsid w:val="00CF4EF7"/>
    <w:rsid w:val="00CF6D40"/>
    <w:rsid w:val="00D03A65"/>
    <w:rsid w:val="00D04DD0"/>
    <w:rsid w:val="00D04F18"/>
    <w:rsid w:val="00D0591B"/>
    <w:rsid w:val="00D076C9"/>
    <w:rsid w:val="00D13409"/>
    <w:rsid w:val="00D26D7E"/>
    <w:rsid w:val="00D3172B"/>
    <w:rsid w:val="00D32D4B"/>
    <w:rsid w:val="00D36C57"/>
    <w:rsid w:val="00D37DF8"/>
    <w:rsid w:val="00D448E3"/>
    <w:rsid w:val="00D51E97"/>
    <w:rsid w:val="00D523ED"/>
    <w:rsid w:val="00D5334E"/>
    <w:rsid w:val="00D54B7E"/>
    <w:rsid w:val="00D5500D"/>
    <w:rsid w:val="00D57074"/>
    <w:rsid w:val="00D57248"/>
    <w:rsid w:val="00D60CA6"/>
    <w:rsid w:val="00D6707F"/>
    <w:rsid w:val="00D73B12"/>
    <w:rsid w:val="00D85189"/>
    <w:rsid w:val="00D95EE7"/>
    <w:rsid w:val="00D975C1"/>
    <w:rsid w:val="00DA0952"/>
    <w:rsid w:val="00DA0C36"/>
    <w:rsid w:val="00DA357D"/>
    <w:rsid w:val="00DA50C4"/>
    <w:rsid w:val="00DA5712"/>
    <w:rsid w:val="00DA5EF8"/>
    <w:rsid w:val="00DA67C7"/>
    <w:rsid w:val="00DB2DB0"/>
    <w:rsid w:val="00DB3BF7"/>
    <w:rsid w:val="00DB585F"/>
    <w:rsid w:val="00DC3EF0"/>
    <w:rsid w:val="00DC4E6D"/>
    <w:rsid w:val="00DC5D5A"/>
    <w:rsid w:val="00DD386F"/>
    <w:rsid w:val="00DD526E"/>
    <w:rsid w:val="00DD5886"/>
    <w:rsid w:val="00DE588D"/>
    <w:rsid w:val="00DE6E77"/>
    <w:rsid w:val="00DF0E87"/>
    <w:rsid w:val="00DF4183"/>
    <w:rsid w:val="00DF484C"/>
    <w:rsid w:val="00E02579"/>
    <w:rsid w:val="00E028D0"/>
    <w:rsid w:val="00E055D9"/>
    <w:rsid w:val="00E10B1F"/>
    <w:rsid w:val="00E112E9"/>
    <w:rsid w:val="00E20622"/>
    <w:rsid w:val="00E222EC"/>
    <w:rsid w:val="00E24F0B"/>
    <w:rsid w:val="00E254CF"/>
    <w:rsid w:val="00E26782"/>
    <w:rsid w:val="00E33755"/>
    <w:rsid w:val="00E35B3D"/>
    <w:rsid w:val="00E43D5A"/>
    <w:rsid w:val="00E43F86"/>
    <w:rsid w:val="00E46080"/>
    <w:rsid w:val="00E47F91"/>
    <w:rsid w:val="00E5072C"/>
    <w:rsid w:val="00E52976"/>
    <w:rsid w:val="00E54DB0"/>
    <w:rsid w:val="00E56CC7"/>
    <w:rsid w:val="00E5774B"/>
    <w:rsid w:val="00E61B94"/>
    <w:rsid w:val="00E63DB1"/>
    <w:rsid w:val="00E66428"/>
    <w:rsid w:val="00E6654D"/>
    <w:rsid w:val="00E665CC"/>
    <w:rsid w:val="00E66827"/>
    <w:rsid w:val="00E669FD"/>
    <w:rsid w:val="00E743FE"/>
    <w:rsid w:val="00E76B88"/>
    <w:rsid w:val="00E845C4"/>
    <w:rsid w:val="00E8685D"/>
    <w:rsid w:val="00E90118"/>
    <w:rsid w:val="00E94653"/>
    <w:rsid w:val="00E94D86"/>
    <w:rsid w:val="00EA0D0F"/>
    <w:rsid w:val="00EA378E"/>
    <w:rsid w:val="00EC4F71"/>
    <w:rsid w:val="00ED00F7"/>
    <w:rsid w:val="00ED0E4F"/>
    <w:rsid w:val="00ED2D91"/>
    <w:rsid w:val="00ED3C77"/>
    <w:rsid w:val="00ED7086"/>
    <w:rsid w:val="00EF2966"/>
    <w:rsid w:val="00EF57EA"/>
    <w:rsid w:val="00EF73C0"/>
    <w:rsid w:val="00F0070A"/>
    <w:rsid w:val="00F02141"/>
    <w:rsid w:val="00F07247"/>
    <w:rsid w:val="00F1462E"/>
    <w:rsid w:val="00F22AAB"/>
    <w:rsid w:val="00F23E13"/>
    <w:rsid w:val="00F267BD"/>
    <w:rsid w:val="00F322B0"/>
    <w:rsid w:val="00F32C22"/>
    <w:rsid w:val="00F3516D"/>
    <w:rsid w:val="00F3542A"/>
    <w:rsid w:val="00F36CEE"/>
    <w:rsid w:val="00F37CC0"/>
    <w:rsid w:val="00F40B42"/>
    <w:rsid w:val="00F470AD"/>
    <w:rsid w:val="00F47A7B"/>
    <w:rsid w:val="00F55622"/>
    <w:rsid w:val="00F55E83"/>
    <w:rsid w:val="00F56AD5"/>
    <w:rsid w:val="00F63D23"/>
    <w:rsid w:val="00F72BCE"/>
    <w:rsid w:val="00F73721"/>
    <w:rsid w:val="00F748ED"/>
    <w:rsid w:val="00F7576B"/>
    <w:rsid w:val="00F77BB9"/>
    <w:rsid w:val="00F84CD1"/>
    <w:rsid w:val="00F91ADD"/>
    <w:rsid w:val="00F91B28"/>
    <w:rsid w:val="00FA1B60"/>
    <w:rsid w:val="00FA303C"/>
    <w:rsid w:val="00FA387C"/>
    <w:rsid w:val="00FA41BB"/>
    <w:rsid w:val="00FA5055"/>
    <w:rsid w:val="00FB0371"/>
    <w:rsid w:val="00FC0488"/>
    <w:rsid w:val="00FC065A"/>
    <w:rsid w:val="00FC307A"/>
    <w:rsid w:val="00FC62BE"/>
    <w:rsid w:val="00FD691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ACD"/>
    <w:rPr>
      <w:sz w:val="18"/>
      <w:szCs w:val="20"/>
      <w:lang w:val="en-GB"/>
    </w:rPr>
  </w:style>
  <w:style w:type="paragraph" w:styleId="Heading1">
    <w:name w:val="heading 1"/>
    <w:basedOn w:val="BoxTitle"/>
    <w:next w:val="Normal"/>
    <w:link w:val="Heading1Char"/>
    <w:uiPriority w:val="99"/>
    <w:qFormat/>
    <w:rsid w:val="007E4B8F"/>
    <w:pPr>
      <w:keepNext/>
      <w:tabs>
        <w:tab w:val="clear" w:pos="10132"/>
        <w:tab w:val="right" w:pos="10348"/>
      </w:tabs>
      <w:spacing w:before="240" w:after="120"/>
      <w:outlineLvl w:val="0"/>
    </w:pPr>
    <w:rPr>
      <w:bCs/>
      <w:color w:val="00408B"/>
      <w:sz w:val="24"/>
      <w:szCs w:val="24"/>
    </w:rPr>
  </w:style>
  <w:style w:type="paragraph" w:styleId="Heading2">
    <w:name w:val="heading 2"/>
    <w:basedOn w:val="Normal"/>
    <w:next w:val="Normal"/>
    <w:link w:val="Heading2Char"/>
    <w:uiPriority w:val="99"/>
    <w:qFormat/>
    <w:rsid w:val="00952B70"/>
    <w:pPr>
      <w:keepNext/>
      <w:tabs>
        <w:tab w:val="left" w:pos="993"/>
      </w:tabs>
      <w:jc w:val="both"/>
      <w:outlineLvl w:val="1"/>
    </w:pPr>
    <w:rPr>
      <w:rFonts w:ascii="Arial" w:hAnsi="Arial" w:cs="Arial"/>
      <w:b/>
      <w:bCs/>
      <w:sz w:val="20"/>
    </w:rPr>
  </w:style>
  <w:style w:type="paragraph" w:styleId="Heading3">
    <w:name w:val="heading 3"/>
    <w:basedOn w:val="Normal"/>
    <w:next w:val="Normal"/>
    <w:link w:val="Heading3Char"/>
    <w:uiPriority w:val="99"/>
    <w:qFormat/>
    <w:rsid w:val="000956E6"/>
    <w:pPr>
      <w:keepNext/>
      <w:tabs>
        <w:tab w:val="left" w:pos="993"/>
      </w:tabs>
      <w:ind w:firstLine="720"/>
      <w:jc w:val="both"/>
      <w:outlineLvl w:val="2"/>
    </w:pPr>
    <w:rPr>
      <w:b/>
      <w:bCs/>
      <w:sz w:val="24"/>
      <w:szCs w:val="24"/>
    </w:rPr>
  </w:style>
  <w:style w:type="paragraph" w:styleId="Heading4">
    <w:name w:val="heading 4"/>
    <w:basedOn w:val="Normal"/>
    <w:next w:val="Normal"/>
    <w:link w:val="Heading4Char"/>
    <w:uiPriority w:val="99"/>
    <w:qFormat/>
    <w:rsid w:val="000956E6"/>
    <w:pPr>
      <w:keepNext/>
      <w:tabs>
        <w:tab w:val="center" w:pos="567"/>
      </w:tabs>
      <w:ind w:right="-1080"/>
      <w:outlineLvl w:val="3"/>
    </w:pPr>
    <w:rPr>
      <w:b/>
      <w:bCs/>
    </w:rPr>
  </w:style>
  <w:style w:type="paragraph" w:styleId="Heading5">
    <w:name w:val="heading 5"/>
    <w:basedOn w:val="Normal"/>
    <w:next w:val="Normal"/>
    <w:link w:val="Heading5Char"/>
    <w:uiPriority w:val="99"/>
    <w:qFormat/>
    <w:rsid w:val="000956E6"/>
    <w:pPr>
      <w:keepNext/>
      <w:outlineLvl w:val="4"/>
    </w:pPr>
    <w:rPr>
      <w:i/>
      <w:iCs/>
      <w:szCs w:val="18"/>
      <w:lang w:val="en-US"/>
    </w:rPr>
  </w:style>
  <w:style w:type="paragraph" w:styleId="Heading6">
    <w:name w:val="heading 6"/>
    <w:basedOn w:val="Normal"/>
    <w:next w:val="Normal"/>
    <w:link w:val="Heading6Char"/>
    <w:uiPriority w:val="99"/>
    <w:qFormat/>
    <w:rsid w:val="000956E6"/>
    <w:pPr>
      <w:keepNext/>
      <w:jc w:val="center"/>
      <w:outlineLvl w:val="5"/>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4B8F"/>
    <w:rPr>
      <w:rFonts w:ascii="Arial" w:hAnsi="Arial" w:cs="Arial"/>
      <w:b/>
      <w:bCs/>
      <w:color w:val="00408B"/>
      <w:sz w:val="24"/>
      <w:szCs w:val="24"/>
      <w:lang w:val="en-GB" w:eastAsia="en-US" w:bidi="ar-SA"/>
    </w:rPr>
  </w:style>
  <w:style w:type="character" w:customStyle="1" w:styleId="Heading2Char">
    <w:name w:val="Heading 2 Char"/>
    <w:basedOn w:val="DefaultParagraphFont"/>
    <w:link w:val="Heading2"/>
    <w:uiPriority w:val="99"/>
    <w:semiHidden/>
    <w:locked/>
    <w:rsid w:val="00952B70"/>
    <w:rPr>
      <w:rFonts w:ascii="Arial" w:hAnsi="Arial" w:cs="Arial"/>
      <w:b/>
      <w:bCs/>
      <w:lang w:val="en-GB" w:eastAsia="en-US" w:bidi="ar-SA"/>
    </w:rPr>
  </w:style>
  <w:style w:type="character" w:customStyle="1" w:styleId="Heading3Char">
    <w:name w:val="Heading 3 Char"/>
    <w:basedOn w:val="DefaultParagraphFont"/>
    <w:link w:val="Heading3"/>
    <w:uiPriority w:val="99"/>
    <w:semiHidden/>
    <w:locked/>
    <w:rsid w:val="00FC62BE"/>
    <w:rPr>
      <w:rFonts w:ascii="Cambria" w:hAnsi="Cambria" w:cs="Cambria"/>
      <w:b/>
      <w:bCs/>
      <w:sz w:val="26"/>
      <w:szCs w:val="26"/>
      <w:lang w:val="en-GB"/>
    </w:rPr>
  </w:style>
  <w:style w:type="character" w:customStyle="1" w:styleId="Heading4Char">
    <w:name w:val="Heading 4 Char"/>
    <w:basedOn w:val="DefaultParagraphFont"/>
    <w:link w:val="Heading4"/>
    <w:uiPriority w:val="99"/>
    <w:semiHidden/>
    <w:locked/>
    <w:rsid w:val="00FC62BE"/>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FC62BE"/>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FC62BE"/>
    <w:rPr>
      <w:rFonts w:ascii="Calibri" w:hAnsi="Calibri" w:cs="Calibri"/>
      <w:b/>
      <w:bCs/>
      <w:sz w:val="22"/>
      <w:szCs w:val="22"/>
      <w:lang w:val="en-GB"/>
    </w:rPr>
  </w:style>
  <w:style w:type="character" w:styleId="Hyperlink">
    <w:name w:val="Hyperlink"/>
    <w:basedOn w:val="DefaultParagraphFont"/>
    <w:uiPriority w:val="99"/>
    <w:rsid w:val="00490E0F"/>
    <w:rPr>
      <w:rFonts w:cs="Times New Roman"/>
      <w:color w:val="0000FF"/>
      <w:u w:val="none"/>
    </w:rPr>
  </w:style>
  <w:style w:type="paragraph" w:styleId="Footer">
    <w:name w:val="footer"/>
    <w:basedOn w:val="Normal"/>
    <w:link w:val="FooterChar"/>
    <w:uiPriority w:val="99"/>
    <w:rsid w:val="000956E6"/>
    <w:pPr>
      <w:tabs>
        <w:tab w:val="center" w:pos="4320"/>
        <w:tab w:val="right" w:pos="8640"/>
      </w:tabs>
    </w:pPr>
  </w:style>
  <w:style w:type="character" w:customStyle="1" w:styleId="FooterChar">
    <w:name w:val="Footer Char"/>
    <w:basedOn w:val="DefaultParagraphFont"/>
    <w:link w:val="Footer"/>
    <w:uiPriority w:val="99"/>
    <w:semiHidden/>
    <w:locked/>
    <w:rsid w:val="00FC62BE"/>
    <w:rPr>
      <w:rFonts w:cs="Times New Roman"/>
      <w:lang w:val="en-GB"/>
    </w:rPr>
  </w:style>
  <w:style w:type="character" w:styleId="PageNumber">
    <w:name w:val="page number"/>
    <w:basedOn w:val="DefaultParagraphFont"/>
    <w:uiPriority w:val="99"/>
    <w:rsid w:val="00C84084"/>
    <w:rPr>
      <w:rFonts w:ascii="Arial" w:hAnsi="Arial" w:cs="Times New Roman"/>
      <w:sz w:val="18"/>
    </w:rPr>
  </w:style>
  <w:style w:type="paragraph" w:styleId="Header">
    <w:name w:val="header"/>
    <w:basedOn w:val="Normal"/>
    <w:link w:val="HeaderChar"/>
    <w:uiPriority w:val="99"/>
    <w:rsid w:val="000956E6"/>
    <w:pPr>
      <w:tabs>
        <w:tab w:val="center" w:pos="4320"/>
        <w:tab w:val="right" w:pos="8640"/>
      </w:tabs>
    </w:pPr>
  </w:style>
  <w:style w:type="character" w:customStyle="1" w:styleId="HeaderChar">
    <w:name w:val="Header Char"/>
    <w:basedOn w:val="DefaultParagraphFont"/>
    <w:link w:val="Header"/>
    <w:uiPriority w:val="99"/>
    <w:semiHidden/>
    <w:locked/>
    <w:rsid w:val="00FC62BE"/>
    <w:rPr>
      <w:rFonts w:cs="Times New Roman"/>
      <w:lang w:val="en-GB"/>
    </w:rPr>
  </w:style>
  <w:style w:type="paragraph" w:styleId="Title">
    <w:name w:val="Title"/>
    <w:basedOn w:val="Normal"/>
    <w:link w:val="TitleChar"/>
    <w:uiPriority w:val="99"/>
    <w:qFormat/>
    <w:rsid w:val="000956E6"/>
    <w:pPr>
      <w:jc w:val="center"/>
    </w:pPr>
    <w:rPr>
      <w:b/>
      <w:bCs/>
      <w:sz w:val="28"/>
      <w:szCs w:val="28"/>
    </w:rPr>
  </w:style>
  <w:style w:type="character" w:customStyle="1" w:styleId="TitleChar">
    <w:name w:val="Title Char"/>
    <w:basedOn w:val="DefaultParagraphFont"/>
    <w:link w:val="Title"/>
    <w:uiPriority w:val="99"/>
    <w:locked/>
    <w:rsid w:val="00FC62BE"/>
    <w:rPr>
      <w:rFonts w:ascii="Cambria" w:hAnsi="Cambria" w:cs="Cambria"/>
      <w:b/>
      <w:bCs/>
      <w:kern w:val="28"/>
      <w:sz w:val="32"/>
      <w:szCs w:val="32"/>
      <w:lang w:val="en-GB"/>
    </w:rPr>
  </w:style>
  <w:style w:type="paragraph" w:styleId="DocumentMap">
    <w:name w:val="Document Map"/>
    <w:basedOn w:val="Normal"/>
    <w:link w:val="DocumentMapChar"/>
    <w:uiPriority w:val="99"/>
    <w:semiHidden/>
    <w:rsid w:val="000956E6"/>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FC62BE"/>
    <w:rPr>
      <w:rFonts w:cs="Times New Roman"/>
      <w:sz w:val="2"/>
      <w:szCs w:val="2"/>
      <w:lang w:val="en-GB"/>
    </w:rPr>
  </w:style>
  <w:style w:type="paragraph" w:styleId="BalloonText">
    <w:name w:val="Balloon Text"/>
    <w:basedOn w:val="Normal"/>
    <w:link w:val="BalloonTextChar"/>
    <w:uiPriority w:val="99"/>
    <w:semiHidden/>
    <w:rsid w:val="00A1152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62BE"/>
    <w:rPr>
      <w:rFonts w:cs="Times New Roman"/>
      <w:sz w:val="2"/>
      <w:szCs w:val="2"/>
      <w:lang w:val="en-GB"/>
    </w:rPr>
  </w:style>
  <w:style w:type="table" w:styleId="TableGrid">
    <w:name w:val="Table Grid"/>
    <w:basedOn w:val="TableNormal"/>
    <w:uiPriority w:val="99"/>
    <w:rsid w:val="007F10F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4D2246"/>
    <w:rPr>
      <w:rFonts w:cs="Times New Roman"/>
      <w:color w:val="800080"/>
      <w:u w:val="single"/>
    </w:rPr>
  </w:style>
  <w:style w:type="character" w:customStyle="1" w:styleId="Instructions">
    <w:name w:val="Instructions"/>
    <w:uiPriority w:val="99"/>
    <w:rsid w:val="00DB585F"/>
    <w:rPr>
      <w:rFonts w:ascii="Times New Roman" w:hAnsi="Times New Roman"/>
      <w:i/>
      <w:color w:val="FF6969"/>
      <w:sz w:val="18"/>
    </w:rPr>
  </w:style>
  <w:style w:type="paragraph" w:customStyle="1" w:styleId="BoxTitle">
    <w:name w:val="BoxTitle"/>
    <w:basedOn w:val="Normal"/>
    <w:link w:val="BoxTitleChar"/>
    <w:uiPriority w:val="99"/>
    <w:rsid w:val="00CE6F4E"/>
    <w:pPr>
      <w:tabs>
        <w:tab w:val="right" w:pos="10132"/>
      </w:tabs>
    </w:pPr>
    <w:rPr>
      <w:rFonts w:ascii="Arial" w:hAnsi="Arial" w:cs="Arial"/>
      <w:b/>
      <w:color w:val="6DABD9"/>
      <w:szCs w:val="18"/>
    </w:rPr>
  </w:style>
  <w:style w:type="character" w:customStyle="1" w:styleId="BoxTitleChar">
    <w:name w:val="BoxTitle Char"/>
    <w:basedOn w:val="DefaultParagraphFont"/>
    <w:link w:val="BoxTitle"/>
    <w:uiPriority w:val="99"/>
    <w:locked/>
    <w:rsid w:val="00CE6F4E"/>
    <w:rPr>
      <w:rFonts w:ascii="Arial" w:hAnsi="Arial" w:cs="Arial"/>
      <w:b/>
      <w:color w:val="6DABD9"/>
      <w:sz w:val="18"/>
      <w:szCs w:val="18"/>
      <w:lang w:val="en-GB" w:eastAsia="en-US" w:bidi="ar-SA"/>
    </w:rPr>
  </w:style>
  <w:style w:type="paragraph" w:customStyle="1" w:styleId="Response">
    <w:name w:val="Response"/>
    <w:basedOn w:val="Normal"/>
    <w:uiPriority w:val="99"/>
    <w:rsid w:val="00CE6F4E"/>
    <w:rPr>
      <w:rFonts w:ascii="Arial" w:hAnsi="Arial"/>
      <w:b/>
      <w:sz w:val="22"/>
      <w:szCs w:val="22"/>
    </w:rPr>
  </w:style>
  <w:style w:type="paragraph" w:customStyle="1" w:styleId="SectionHead">
    <w:name w:val="SectionHead"/>
    <w:basedOn w:val="BoxTitle"/>
    <w:uiPriority w:val="99"/>
    <w:rsid w:val="00D95EE7"/>
    <w:pPr>
      <w:keepNext/>
      <w:keepLines/>
      <w:tabs>
        <w:tab w:val="clear" w:pos="10132"/>
        <w:tab w:val="right" w:pos="10348"/>
      </w:tabs>
      <w:jc w:val="both"/>
    </w:pPr>
    <w:rPr>
      <w:bCs/>
      <w:color w:val="00408B"/>
      <w:sz w:val="22"/>
      <w:szCs w:val="22"/>
    </w:rPr>
  </w:style>
  <w:style w:type="paragraph" w:customStyle="1" w:styleId="TableHead">
    <w:name w:val="TableHead"/>
    <w:basedOn w:val="BoxTitle"/>
    <w:link w:val="TableHeadChar"/>
    <w:uiPriority w:val="99"/>
    <w:rsid w:val="007E4B8F"/>
    <w:rPr>
      <w:color w:val="00408B"/>
    </w:rPr>
  </w:style>
  <w:style w:type="paragraph" w:customStyle="1" w:styleId="Spacer">
    <w:name w:val="Spacer"/>
    <w:basedOn w:val="Normal"/>
    <w:uiPriority w:val="99"/>
    <w:rsid w:val="002635D6"/>
    <w:rPr>
      <w:sz w:val="6"/>
    </w:rPr>
  </w:style>
  <w:style w:type="paragraph" w:customStyle="1" w:styleId="Responsebudget">
    <w:name w:val="Response budget"/>
    <w:basedOn w:val="Response"/>
    <w:uiPriority w:val="99"/>
    <w:rsid w:val="007D4D00"/>
    <w:pPr>
      <w:jc w:val="right"/>
    </w:pPr>
    <w:rPr>
      <w:rFonts w:cs="Arial"/>
      <w:sz w:val="18"/>
      <w:szCs w:val="18"/>
    </w:rPr>
  </w:style>
  <w:style w:type="paragraph" w:customStyle="1" w:styleId="Responsebudgetitem">
    <w:name w:val="Response budget item"/>
    <w:basedOn w:val="Responsebudget"/>
    <w:uiPriority w:val="99"/>
    <w:rsid w:val="00843EAD"/>
    <w:pPr>
      <w:ind w:left="567"/>
      <w:jc w:val="left"/>
    </w:pPr>
  </w:style>
  <w:style w:type="character" w:customStyle="1" w:styleId="TableHeadChar">
    <w:name w:val="TableHead Char"/>
    <w:basedOn w:val="BoxTitleChar"/>
    <w:link w:val="TableHead"/>
    <w:uiPriority w:val="99"/>
    <w:locked/>
    <w:rsid w:val="009543F7"/>
    <w:rPr>
      <w:color w:val="00408B"/>
    </w:rPr>
  </w:style>
  <w:style w:type="paragraph" w:customStyle="1" w:styleId="Responsefree">
    <w:name w:val="Response free"/>
    <w:basedOn w:val="Response"/>
    <w:uiPriority w:val="99"/>
    <w:rsid w:val="00490E0F"/>
    <w:pPr>
      <w:spacing w:before="120" w:after="120"/>
    </w:pPr>
    <w:rPr>
      <w:rFonts w:ascii="Times New Roman" w:hAnsi="Times New Roman"/>
      <w:b w:val="0"/>
    </w:rPr>
  </w:style>
  <w:style w:type="paragraph" w:customStyle="1" w:styleId="Body">
    <w:name w:val="Body"/>
    <w:basedOn w:val="Normal"/>
    <w:uiPriority w:val="99"/>
    <w:rsid w:val="0058543C"/>
    <w:pPr>
      <w:spacing w:after="120"/>
      <w:jc w:val="both"/>
    </w:pPr>
    <w:rPr>
      <w:rFonts w:ascii="Arial" w:hAnsi="Arial" w:cs="Arial"/>
      <w:sz w:val="20"/>
    </w:rPr>
  </w:style>
  <w:style w:type="paragraph" w:styleId="FootnoteText">
    <w:name w:val="footnote text"/>
    <w:basedOn w:val="Normal"/>
    <w:link w:val="FootnoteTextChar"/>
    <w:uiPriority w:val="99"/>
    <w:semiHidden/>
    <w:rsid w:val="00011C0F"/>
    <w:rPr>
      <w:rFonts w:ascii="Arial" w:hAnsi="Arial" w:cs="Arial"/>
      <w:sz w:val="20"/>
      <w:lang w:val="en-US"/>
    </w:rPr>
  </w:style>
  <w:style w:type="character" w:customStyle="1" w:styleId="FootnoteTextChar">
    <w:name w:val="Footnote Text Char"/>
    <w:basedOn w:val="DefaultParagraphFont"/>
    <w:link w:val="FootnoteText"/>
    <w:uiPriority w:val="99"/>
    <w:semiHidden/>
    <w:rsid w:val="003042BE"/>
    <w:rPr>
      <w:sz w:val="20"/>
      <w:szCs w:val="20"/>
      <w:lang w:val="en-GB"/>
    </w:rPr>
  </w:style>
  <w:style w:type="character" w:styleId="FootnoteReference">
    <w:name w:val="footnote reference"/>
    <w:basedOn w:val="DefaultParagraphFont"/>
    <w:uiPriority w:val="99"/>
    <w:semiHidden/>
    <w:rsid w:val="009543F7"/>
    <w:rPr>
      <w:rFonts w:cs="Times New Roman"/>
      <w:vertAlign w:val="superscript"/>
    </w:rPr>
  </w:style>
  <w:style w:type="paragraph" w:customStyle="1" w:styleId="BulletList">
    <w:name w:val="BulletList"/>
    <w:basedOn w:val="Body"/>
    <w:uiPriority w:val="99"/>
    <w:rsid w:val="009543F7"/>
    <w:pPr>
      <w:numPr>
        <w:numId w:val="2"/>
      </w:numPr>
    </w:pPr>
  </w:style>
  <w:style w:type="character" w:styleId="CommentReference">
    <w:name w:val="annotation reference"/>
    <w:basedOn w:val="DefaultParagraphFont"/>
    <w:uiPriority w:val="99"/>
    <w:semiHidden/>
    <w:rsid w:val="00737A29"/>
    <w:rPr>
      <w:rFonts w:cs="Times New Roman"/>
      <w:sz w:val="16"/>
      <w:szCs w:val="16"/>
    </w:rPr>
  </w:style>
  <w:style w:type="paragraph" w:styleId="CommentText">
    <w:name w:val="annotation text"/>
    <w:basedOn w:val="Normal"/>
    <w:link w:val="CommentTextChar"/>
    <w:uiPriority w:val="99"/>
    <w:semiHidden/>
    <w:rsid w:val="00737A29"/>
    <w:rPr>
      <w:sz w:val="20"/>
    </w:rPr>
  </w:style>
  <w:style w:type="character" w:customStyle="1" w:styleId="CommentTextChar">
    <w:name w:val="Comment Text Char"/>
    <w:basedOn w:val="DefaultParagraphFont"/>
    <w:link w:val="CommentText"/>
    <w:uiPriority w:val="99"/>
    <w:semiHidden/>
    <w:rsid w:val="003042BE"/>
    <w:rPr>
      <w:sz w:val="20"/>
      <w:szCs w:val="20"/>
      <w:lang w:val="en-GB"/>
    </w:rPr>
  </w:style>
  <w:style w:type="paragraph" w:styleId="CommentSubject">
    <w:name w:val="annotation subject"/>
    <w:basedOn w:val="CommentText"/>
    <w:next w:val="CommentText"/>
    <w:link w:val="CommentSubjectChar"/>
    <w:uiPriority w:val="99"/>
    <w:semiHidden/>
    <w:rsid w:val="00737A29"/>
    <w:rPr>
      <w:b/>
      <w:bCs/>
    </w:rPr>
  </w:style>
  <w:style w:type="character" w:customStyle="1" w:styleId="CommentSubjectChar">
    <w:name w:val="Comment Subject Char"/>
    <w:basedOn w:val="CommentTextChar"/>
    <w:link w:val="CommentSubject"/>
    <w:uiPriority w:val="99"/>
    <w:semiHidden/>
    <w:rsid w:val="003042BE"/>
    <w:rPr>
      <w:b/>
      <w:bCs/>
    </w:rPr>
  </w:style>
</w:styles>
</file>

<file path=word/webSettings.xml><?xml version="1.0" encoding="utf-8"?>
<w:webSettings xmlns:r="http://schemas.openxmlformats.org/officeDocument/2006/relationships" xmlns:w="http://schemas.openxmlformats.org/wordprocessingml/2006/main">
  <w:divs>
    <w:div w:id="799958679">
      <w:marLeft w:val="0"/>
      <w:marRight w:val="0"/>
      <w:marTop w:val="0"/>
      <w:marBottom w:val="0"/>
      <w:divBdr>
        <w:top w:val="none" w:sz="0" w:space="0" w:color="auto"/>
        <w:left w:val="none" w:sz="0" w:space="0" w:color="auto"/>
        <w:bottom w:val="none" w:sz="0" w:space="0" w:color="auto"/>
        <w:right w:val="none" w:sz="0" w:space="0" w:color="auto"/>
      </w:divBdr>
      <w:divsChild>
        <w:div w:id="799958678">
          <w:marLeft w:val="0"/>
          <w:marRight w:val="0"/>
          <w:marTop w:val="86"/>
          <w:marBottom w:val="0"/>
          <w:divBdr>
            <w:top w:val="single" w:sz="6" w:space="4" w:color="666666"/>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ato.int/science"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ato.int/cps/en/natolive/87998.ht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sps.applications@hq.nato.int?subject=ARW%20applicatio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nato.int/cps/en/natolive/88007.ht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5</Pages>
  <Words>1812</Words>
  <Characters>10330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cp:keywords/>
  <dc:description/>
  <cp:lastModifiedBy/>
  <cp:revision>2</cp:revision>
  <dcterms:created xsi:type="dcterms:W3CDTF">2013-05-13T07:27:00Z</dcterms:created>
  <dcterms:modified xsi:type="dcterms:W3CDTF">2013-05-13T07:27:00Z</dcterms:modified>
</cp:coreProperties>
</file>