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bottom w:val="single" w:sz="4" w:space="0" w:color="auto"/>
        </w:tblBorders>
        <w:tblLayout w:type="fixed"/>
        <w:tblCellMar>
          <w:bottom w:w="142" w:type="dxa"/>
        </w:tblCellMar>
        <w:tblLook w:val="0000"/>
      </w:tblPr>
      <w:tblGrid>
        <w:gridCol w:w="993"/>
        <w:gridCol w:w="9355"/>
      </w:tblGrid>
      <w:tr w:rsidR="003E719A" w:rsidRPr="00DC4E6D">
        <w:trPr>
          <w:trHeight w:val="1881"/>
        </w:trPr>
        <w:tc>
          <w:tcPr>
            <w:tcW w:w="993" w:type="dxa"/>
            <w:tcBorders>
              <w:bottom w:val="single" w:sz="4" w:space="0" w:color="auto"/>
            </w:tcBorders>
            <w:vAlign w:val="center"/>
          </w:tcPr>
          <w:p w:rsidR="003E719A" w:rsidRPr="00DC4E6D" w:rsidRDefault="003E719A" w:rsidP="00E33755">
            <w:pPr>
              <w:jc w:val="center"/>
              <w:rPr>
                <w:b/>
                <w:bCs/>
              </w:rPr>
            </w:pPr>
            <w:bookmarkStart w:id="0" w:name="_Toc326767645"/>
            <w:bookmarkStart w:id="1" w:name="_Toc326767647"/>
            <w:r w:rsidRPr="00CE6FD7">
              <w:rPr>
                <w:b/>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2" o:spid="_x0000_i1025" type="#_x0000_t75" style="width:45pt;height:90.6pt;visibility:visible">
                  <v:imagedata r:id="rId7" o:title=""/>
                </v:shape>
              </w:pict>
            </w:r>
          </w:p>
        </w:tc>
        <w:tc>
          <w:tcPr>
            <w:tcW w:w="9355" w:type="dxa"/>
            <w:tcBorders>
              <w:bottom w:val="single" w:sz="4" w:space="0" w:color="auto"/>
            </w:tcBorders>
            <w:vAlign w:val="center"/>
          </w:tcPr>
          <w:p w:rsidR="003E719A" w:rsidRPr="00DC4E6D" w:rsidRDefault="003E719A" w:rsidP="009D25EC">
            <w:pPr>
              <w:spacing w:after="120"/>
              <w:jc w:val="center"/>
              <w:rPr>
                <w:b/>
                <w:bCs/>
                <w:color w:val="3487C8"/>
                <w:sz w:val="22"/>
                <w:szCs w:val="22"/>
              </w:rPr>
            </w:pPr>
            <w:r w:rsidRPr="00DC4E6D">
              <w:rPr>
                <w:b/>
                <w:bCs/>
                <w:color w:val="3487C8"/>
                <w:sz w:val="22"/>
                <w:szCs w:val="22"/>
              </w:rPr>
              <w:t>Emerging Security Challenges Division</w:t>
            </w:r>
          </w:p>
          <w:p w:rsidR="003E719A" w:rsidRPr="00DC4E6D" w:rsidRDefault="003E719A" w:rsidP="009D25EC">
            <w:pPr>
              <w:spacing w:after="200"/>
              <w:jc w:val="center"/>
              <w:rPr>
                <w:b/>
                <w:bCs/>
                <w:color w:val="3487C8"/>
                <w:sz w:val="28"/>
                <w:szCs w:val="28"/>
              </w:rPr>
            </w:pPr>
            <w:r w:rsidRPr="00DC4E6D">
              <w:rPr>
                <w:b/>
                <w:bCs/>
                <w:color w:val="3487C8"/>
                <w:sz w:val="28"/>
                <w:szCs w:val="28"/>
              </w:rPr>
              <w:t>Science for Peace and Security Programme</w:t>
            </w:r>
          </w:p>
          <w:p w:rsidR="003E719A" w:rsidRPr="00DC4E6D" w:rsidRDefault="003E719A" w:rsidP="009D25EC">
            <w:pPr>
              <w:spacing w:after="200"/>
              <w:jc w:val="center"/>
              <w:rPr>
                <w:rFonts w:ascii="Arial" w:hAnsi="Arial" w:cs="Arial"/>
                <w:b/>
                <w:bCs/>
                <w:color w:val="00408B"/>
                <w:sz w:val="32"/>
                <w:szCs w:val="32"/>
              </w:rPr>
            </w:pPr>
            <w:r w:rsidRPr="00DC4E6D">
              <w:rPr>
                <w:rFonts w:ascii="Arial" w:hAnsi="Arial" w:cs="Arial"/>
                <w:b/>
                <w:bCs/>
                <w:color w:val="00408B"/>
                <w:sz w:val="32"/>
                <w:szCs w:val="32"/>
              </w:rPr>
              <w:t xml:space="preserve">Guidelines for Applicants: Advanced </w:t>
            </w:r>
            <w:r>
              <w:rPr>
                <w:rFonts w:ascii="Arial" w:hAnsi="Arial" w:cs="Arial"/>
                <w:b/>
                <w:bCs/>
                <w:color w:val="00408B"/>
                <w:sz w:val="32"/>
                <w:szCs w:val="32"/>
              </w:rPr>
              <w:t>Study Institute</w:t>
            </w:r>
          </w:p>
          <w:p w:rsidR="003E719A" w:rsidRPr="00DC4E6D" w:rsidRDefault="003E719A" w:rsidP="009D25EC">
            <w:pPr>
              <w:jc w:val="center"/>
              <w:rPr>
                <w:b/>
                <w:bCs/>
              </w:rPr>
            </w:pPr>
            <w:r w:rsidRPr="00DC4E6D">
              <w:rPr>
                <w:szCs w:val="18"/>
              </w:rPr>
              <w:t xml:space="preserve">NATO Emerging Security Challenges Division, SPS Programme, Bd. Léopold III, </w:t>
            </w:r>
            <w:r w:rsidRPr="00DC4E6D" w:rsidDel="00C17795">
              <w:rPr>
                <w:szCs w:val="18"/>
              </w:rPr>
              <w:t>B-</w:t>
            </w:r>
            <w:r w:rsidRPr="00DC4E6D">
              <w:rPr>
                <w:szCs w:val="18"/>
              </w:rPr>
              <w:t>1110 Brussels, Belgium</w:t>
            </w:r>
          </w:p>
        </w:tc>
      </w:tr>
    </w:tbl>
    <w:p w:rsidR="003E719A" w:rsidRPr="00DC4E6D" w:rsidRDefault="003E719A" w:rsidP="00234914">
      <w:pPr>
        <w:pStyle w:val="Heading1"/>
      </w:pPr>
      <w:r w:rsidRPr="00DC4E6D">
        <w:t>Introduction</w:t>
      </w:r>
      <w:bookmarkEnd w:id="0"/>
    </w:p>
    <w:p w:rsidR="003E719A" w:rsidRPr="00DC4E6D" w:rsidRDefault="003E719A" w:rsidP="0058543C">
      <w:pPr>
        <w:pStyle w:val="Body"/>
      </w:pPr>
      <w:r w:rsidRPr="00DC4E6D">
        <w:t xml:space="preserve">The NATO Science for Peace and Security Programme (SPS) seeks to enhance cooperation and dialogue with all partners through civil science and innovation. The SPS Programme offers grants for Advanced </w:t>
      </w:r>
      <w:r>
        <w:t>Study Institutes</w:t>
      </w:r>
      <w:r w:rsidRPr="00DC4E6D">
        <w:t xml:space="preserve"> (</w:t>
      </w:r>
      <w:r>
        <w:t>ASIs), high-level teaching activities where a carefully defined topic in security-related civil science is treated in depth by Lecturers of international standing, and new advances are reported in tutorial format. Grants are available for organising ASIs in</w:t>
      </w:r>
      <w:r w:rsidRPr="00DC4E6D">
        <w:t xml:space="preserve"> </w:t>
      </w:r>
      <w:r>
        <w:t xml:space="preserve">the </w:t>
      </w:r>
      <w:hyperlink w:anchor="Annex1KeyPriorities" w:history="1">
        <w:r w:rsidRPr="00DC4E6D">
          <w:rPr>
            <w:rStyle w:val="Hyperlink"/>
            <w:rFonts w:cs="Arial"/>
          </w:rPr>
          <w:t>SPS Key Priority Areas</w:t>
        </w:r>
      </w:hyperlink>
      <w:r>
        <w:t>.</w:t>
      </w:r>
    </w:p>
    <w:p w:rsidR="003E719A" w:rsidRDefault="003E719A" w:rsidP="00A57F24">
      <w:pPr>
        <w:pStyle w:val="Body"/>
      </w:pPr>
      <w:r>
        <w:t xml:space="preserve">A NATO ASI is not intended to be a conference or symposium, but rather a short course contributing to the dissemination of knowledge and the formation of international scientific contacts. The teaching in ASIs is aimed at scientists at the post-doctoral level with an appropriate background in security-related civil science who wish to learn of recent developments in their fields of expertise. ASIs have the specific role of contributing to the training and motivation of young scientists in NATO’s Partner countries. </w:t>
      </w:r>
    </w:p>
    <w:p w:rsidR="003E719A" w:rsidRDefault="003E719A" w:rsidP="00A57F24">
      <w:pPr>
        <w:pStyle w:val="Body"/>
      </w:pPr>
      <w:r>
        <w:t>ASIs should last approximately seven working days in order to give adequate time for the development of a topic and allow for sufficient interaction among the scientists. The presentation of contributed papers at ASIs is normally limited to a single half day. Poster sessions, if any, should normally take place in the evenings.</w:t>
      </w:r>
    </w:p>
    <w:p w:rsidR="003E719A" w:rsidRPr="00DC4E6D" w:rsidRDefault="003E719A" w:rsidP="0058543C">
      <w:pPr>
        <w:pStyle w:val="Body"/>
      </w:pPr>
      <w:r w:rsidRPr="00DC4E6D">
        <w:t xml:space="preserve">These Guidelines are also available on the NATO website: </w:t>
      </w:r>
      <w:hyperlink r:id="rId8" w:history="1">
        <w:r w:rsidRPr="00DC4E6D">
          <w:rPr>
            <w:rStyle w:val="Hyperlink"/>
            <w:rFonts w:cs="Arial"/>
          </w:rPr>
          <w:t>www.nato.int/science</w:t>
        </w:r>
      </w:hyperlink>
      <w:r w:rsidRPr="00DC4E6D">
        <w:t xml:space="preserve"> along with separate guidelines for</w:t>
      </w:r>
      <w:r>
        <w:t xml:space="preserve"> SPS P</w:t>
      </w:r>
      <w:r w:rsidRPr="00DC4E6D">
        <w:t xml:space="preserve">roject, </w:t>
      </w:r>
      <w:r>
        <w:t>Advanced Research Workshop, and Advanced Training</w:t>
      </w:r>
      <w:r w:rsidRPr="00DC4E6D">
        <w:t xml:space="preserve"> </w:t>
      </w:r>
      <w:r>
        <w:t xml:space="preserve">Course </w:t>
      </w:r>
      <w:r w:rsidRPr="00DC4E6D">
        <w:t>grant applicants.</w:t>
      </w:r>
    </w:p>
    <w:p w:rsidR="003E719A" w:rsidRPr="00DC4E6D" w:rsidRDefault="003E719A" w:rsidP="00234914">
      <w:pPr>
        <w:pStyle w:val="Heading1"/>
      </w:pPr>
      <w:bookmarkStart w:id="2" w:name="_Toc326767646"/>
      <w:r w:rsidRPr="00DC4E6D">
        <w:t>Who Can Apply?</w:t>
      </w:r>
      <w:bookmarkEnd w:id="2"/>
    </w:p>
    <w:p w:rsidR="003E719A" w:rsidRPr="00DC4E6D" w:rsidRDefault="003E719A" w:rsidP="00A60A77">
      <w:pPr>
        <w:pStyle w:val="Body"/>
      </w:pPr>
      <w:r w:rsidRPr="00DC4E6D">
        <w:t xml:space="preserve">Applications must be submitted jointly by an organizer residing and working in a </w:t>
      </w:r>
      <w:hyperlink w:anchor="Annex3EligibleCountries" w:history="1">
        <w:r w:rsidRPr="00DC4E6D">
          <w:rPr>
            <w:rStyle w:val="Hyperlink"/>
            <w:rFonts w:cs="Arial"/>
          </w:rPr>
          <w:t xml:space="preserve">NATO country </w:t>
        </w:r>
      </w:hyperlink>
      <w:r w:rsidRPr="00DC4E6D">
        <w:t xml:space="preserve">and one residing and working in a </w:t>
      </w:r>
      <w:hyperlink w:anchor="Annex3EligibleCountries" w:history="1">
        <w:r>
          <w:rPr>
            <w:rStyle w:val="Hyperlink"/>
            <w:rFonts w:cs="Arial"/>
          </w:rPr>
          <w:t>Partner</w:t>
        </w:r>
        <w:r w:rsidRPr="00DC4E6D">
          <w:rPr>
            <w:rStyle w:val="Hyperlink"/>
            <w:rFonts w:cs="Arial"/>
          </w:rPr>
          <w:t xml:space="preserve"> country</w:t>
        </w:r>
      </w:hyperlink>
      <w:r w:rsidRPr="00DC4E6D">
        <w:t xml:space="preserve">. Individuals from for-profit private companies are not eligible. Both applicants must be fully involved in </w:t>
      </w:r>
      <w:r>
        <w:t>the organization of the ASI</w:t>
      </w:r>
      <w:r w:rsidRPr="00DC4E6D">
        <w:t xml:space="preserve"> and the selection of participants. These Co-Directors prepare the </w:t>
      </w:r>
      <w:r>
        <w:t>scientific</w:t>
      </w:r>
      <w:r w:rsidRPr="00DC4E6D">
        <w:t xml:space="preserve"> </w:t>
      </w:r>
      <w:r>
        <w:t>agenda and develop the pedagogic programme including lectures and smaller tutorial groups</w:t>
      </w:r>
      <w:r w:rsidRPr="00DC4E6D">
        <w:t>,</w:t>
      </w:r>
      <w:r>
        <w:t xml:space="preserve"> advertise the ASI, recruit and</w:t>
      </w:r>
      <w:r w:rsidRPr="00DC4E6D">
        <w:t xml:space="preserve"> select participants, organize </w:t>
      </w:r>
      <w:r>
        <w:t>institute</w:t>
      </w:r>
      <w:r w:rsidRPr="00DC4E6D">
        <w:t xml:space="preserve"> practicalities, administer the NATO funds, and report to NATO; they generally also serve as </w:t>
      </w:r>
      <w:r>
        <w:t>Lecturers</w:t>
      </w:r>
      <w:r w:rsidRPr="00DC4E6D">
        <w:t xml:space="preserve"> themselves during the </w:t>
      </w:r>
      <w:r>
        <w:t>institute</w:t>
      </w:r>
      <w:r w:rsidRPr="00DC4E6D">
        <w:t xml:space="preserve">. The Co-Directors should be assisted by a small Organizing Committee from at least </w:t>
      </w:r>
      <w:r>
        <w:t>three</w:t>
      </w:r>
      <w:r w:rsidRPr="00DC4E6D">
        <w:t xml:space="preserve"> countries selected from amongst the </w:t>
      </w:r>
      <w:r>
        <w:t>ASI</w:t>
      </w:r>
      <w:r w:rsidRPr="00DC4E6D">
        <w:t xml:space="preserve"> </w:t>
      </w:r>
      <w:r>
        <w:t>Lecturers</w:t>
      </w:r>
      <w:r w:rsidRPr="00DC4E6D">
        <w:t>.</w:t>
      </w:r>
      <w:r>
        <w:t xml:space="preserve"> The Organizing Committee should also include at least one scientist located near the ASI site. </w:t>
      </w:r>
    </w:p>
    <w:p w:rsidR="003E719A" w:rsidRPr="00DC4E6D" w:rsidRDefault="003E719A" w:rsidP="00A60A77">
      <w:pPr>
        <w:pStyle w:val="Body"/>
      </w:pPr>
      <w:r w:rsidRPr="00DC4E6D">
        <w:t>Applicants should note that they cannot have more than one SPS activity running simultaneously. Prospective Co-Directors should ensure that the file on any previous SPS activity directed by either of them is closed before applying to direct another.</w:t>
      </w:r>
    </w:p>
    <w:p w:rsidR="003E719A" w:rsidRPr="00DC4E6D" w:rsidRDefault="003E719A" w:rsidP="000A557F">
      <w:pPr>
        <w:pStyle w:val="Heading1"/>
      </w:pPr>
      <w:r w:rsidRPr="00DC4E6D">
        <w:t>Location</w:t>
      </w:r>
    </w:p>
    <w:p w:rsidR="003E719A" w:rsidRPr="00DC4E6D" w:rsidRDefault="003E719A" w:rsidP="000A557F">
      <w:pPr>
        <w:pStyle w:val="Body"/>
      </w:pPr>
      <w:r w:rsidRPr="00DC4E6D">
        <w:t xml:space="preserve">An </w:t>
      </w:r>
      <w:r>
        <w:t>ASI</w:t>
      </w:r>
      <w:r w:rsidRPr="00DC4E6D">
        <w:t xml:space="preserve"> should preferably be held in a </w:t>
      </w:r>
      <w:hyperlink w:anchor="Annex3EligibleCountries" w:history="1">
        <w:r>
          <w:rPr>
            <w:rStyle w:val="Hyperlink"/>
            <w:rFonts w:cs="Arial"/>
          </w:rPr>
          <w:t>Partner</w:t>
        </w:r>
        <w:r w:rsidRPr="00DC4E6D">
          <w:rPr>
            <w:rStyle w:val="Hyperlink"/>
            <w:rFonts w:cs="Arial"/>
          </w:rPr>
          <w:t xml:space="preserve"> country</w:t>
        </w:r>
      </w:hyperlink>
      <w:r w:rsidRPr="00DC4E6D">
        <w:t>.</w:t>
      </w:r>
    </w:p>
    <w:p w:rsidR="003E719A" w:rsidRPr="00DC4E6D" w:rsidRDefault="003E719A" w:rsidP="000A557F">
      <w:pPr>
        <w:pStyle w:val="Body"/>
      </w:pPr>
      <w:r w:rsidRPr="00DC4E6D">
        <w:t xml:space="preserve">The </w:t>
      </w:r>
      <w:r>
        <w:t>ASI</w:t>
      </w:r>
      <w:r w:rsidRPr="00DC4E6D">
        <w:t xml:space="preserve"> should be held at a suitable location with all facilities including </w:t>
      </w:r>
      <w:r>
        <w:t>lecture</w:t>
      </w:r>
      <w:r w:rsidRPr="00DC4E6D">
        <w:t xml:space="preserve"> rooms and accommodation at the same site. Furthermore, the site should provide </w:t>
      </w:r>
      <w:r>
        <w:t xml:space="preserve">a </w:t>
      </w:r>
      <w:r w:rsidRPr="00DC4E6D">
        <w:t>calm and quiet</w:t>
      </w:r>
      <w:r>
        <w:t xml:space="preserve"> environment</w:t>
      </w:r>
      <w:r w:rsidRPr="00DC4E6D">
        <w:t>, adequate audiovisual and computer facilities, spaces for informal meetings to allow free exchange of views among participants, and easy access to local assistance for practical arrangements such as travel, banking, and so forth.</w:t>
      </w:r>
    </w:p>
    <w:p w:rsidR="003E719A" w:rsidRPr="00DC4E6D" w:rsidRDefault="003E719A" w:rsidP="000A557F">
      <w:pPr>
        <w:pStyle w:val="Heading1"/>
      </w:pPr>
      <w:r w:rsidRPr="00DC4E6D">
        <w:t>Participation</w:t>
      </w:r>
    </w:p>
    <w:p w:rsidR="003E719A" w:rsidRDefault="003E719A" w:rsidP="000A557F">
      <w:pPr>
        <w:pStyle w:val="Body"/>
      </w:pPr>
      <w:r w:rsidRPr="00DC4E6D">
        <w:t xml:space="preserve">Participation in an </w:t>
      </w:r>
      <w:r>
        <w:t>ASI</w:t>
      </w:r>
      <w:r w:rsidRPr="00DC4E6D">
        <w:t xml:space="preserve"> is at the discretion of the Co-Directors. </w:t>
      </w:r>
      <w:r w:rsidRPr="0046147E">
        <w:t>Experience has shown that greatest benefit is obtained from ASIs with 12 to 15 Lecturers and 60 to 80 ASI Students. In special cases, the number of Lecturers can be increased</w:t>
      </w:r>
      <w:r>
        <w:t xml:space="preserve"> slightly, but not more than 15, including the Co-Directors,</w:t>
      </w:r>
      <w:r w:rsidRPr="0046147E">
        <w:t xml:space="preserve"> can be </w:t>
      </w:r>
      <w:r>
        <w:t>financed</w:t>
      </w:r>
      <w:r w:rsidRPr="0046147E">
        <w:t xml:space="preserve"> </w:t>
      </w:r>
      <w:r>
        <w:t>by</w:t>
      </w:r>
      <w:r w:rsidRPr="0046147E">
        <w:t xml:space="preserve"> the NATO grant.</w:t>
      </w:r>
      <w:r>
        <w:t xml:space="preserve"> </w:t>
      </w:r>
    </w:p>
    <w:p w:rsidR="003E719A" w:rsidRDefault="003E719A" w:rsidP="000A557F">
      <w:pPr>
        <w:pStyle w:val="Body"/>
      </w:pPr>
      <w:r w:rsidRPr="00DC4E6D">
        <w:t xml:space="preserve">Prospective </w:t>
      </w:r>
      <w:r>
        <w:t>Lecturers</w:t>
      </w:r>
      <w:r w:rsidRPr="00DC4E6D">
        <w:t xml:space="preserve"> should be contacted during the preparation of the </w:t>
      </w:r>
      <w:r>
        <w:t>ASI</w:t>
      </w:r>
      <w:r w:rsidRPr="00DC4E6D">
        <w:t xml:space="preserve"> application and their degree of commitment noted. Applications with low Specialist commitment stand a reduced chance of being awarded.</w:t>
      </w:r>
      <w:r>
        <w:t xml:space="preserve"> Lecturers should come primarily from </w:t>
      </w:r>
      <w:hyperlink w:anchor="Annex3EligibleCountries" w:history="1">
        <w:r w:rsidRPr="00500397">
          <w:rPr>
            <w:rStyle w:val="Hyperlink"/>
            <w:rFonts w:cs="Arial"/>
          </w:rPr>
          <w:t xml:space="preserve">NATO countries </w:t>
        </w:r>
      </w:hyperlink>
      <w:r>
        <w:t xml:space="preserve">and </w:t>
      </w:r>
      <w:hyperlink w:anchor="Annex3EligibleCountries" w:history="1">
        <w:r>
          <w:rPr>
            <w:rStyle w:val="Hyperlink"/>
            <w:rFonts w:cs="Arial"/>
          </w:rPr>
          <w:t>P</w:t>
        </w:r>
        <w:r w:rsidRPr="00500397">
          <w:rPr>
            <w:rStyle w:val="Hyperlink"/>
            <w:rFonts w:cs="Arial"/>
          </w:rPr>
          <w:t>artner countries</w:t>
        </w:r>
      </w:hyperlink>
      <w:r>
        <w:t>. Subject to the prior approval of NATO, outstanding Lecturers from other countries may participate in an ASI. Any such Lecturers must be listed explicitly in the application.</w:t>
      </w:r>
    </w:p>
    <w:p w:rsidR="003E719A" w:rsidRPr="00DC4E6D" w:rsidRDefault="003E719A" w:rsidP="000A557F">
      <w:pPr>
        <w:pStyle w:val="Body"/>
      </w:pPr>
      <w:r>
        <w:t xml:space="preserve">Students should be chosen based on their qualification, promise, and capacity to benefit from and contribute to the ASI. While an ASI is aimed at young scientists at a post-doctoral level, exceptional Ph.D. students may also be included. ASI students must come from </w:t>
      </w:r>
      <w:hyperlink w:anchor="Annex3EligibleCountries" w:history="1">
        <w:r w:rsidRPr="00500397">
          <w:rPr>
            <w:rStyle w:val="Hyperlink"/>
            <w:rFonts w:cs="Arial"/>
          </w:rPr>
          <w:t xml:space="preserve">NATO countries </w:t>
        </w:r>
      </w:hyperlink>
      <w:r>
        <w:t xml:space="preserve">and </w:t>
      </w:r>
      <w:hyperlink w:anchor="Annex3EligibleCountries" w:history="1">
        <w:r>
          <w:rPr>
            <w:rStyle w:val="Hyperlink"/>
            <w:rFonts w:cs="Arial"/>
          </w:rPr>
          <w:t>P</w:t>
        </w:r>
        <w:r w:rsidRPr="00500397">
          <w:rPr>
            <w:rStyle w:val="Hyperlink"/>
            <w:rFonts w:cs="Arial"/>
          </w:rPr>
          <w:t>artner countries</w:t>
        </w:r>
      </w:hyperlink>
      <w:r>
        <w:t>; students from other countries are not permitted to attend. No more than 25% of the students may be from any single country.</w:t>
      </w:r>
    </w:p>
    <w:p w:rsidR="003E719A" w:rsidRPr="00DC4E6D" w:rsidRDefault="003E719A" w:rsidP="00BD2A50">
      <w:pPr>
        <w:pStyle w:val="Heading1"/>
        <w:jc w:val="both"/>
      </w:pPr>
      <w:bookmarkStart w:id="3" w:name="Funding"/>
      <w:bookmarkEnd w:id="3"/>
      <w:r w:rsidRPr="00DC4E6D">
        <w:t>Funding</w:t>
      </w:r>
    </w:p>
    <w:p w:rsidR="003E719A" w:rsidRPr="00DC4E6D" w:rsidRDefault="003E719A" w:rsidP="00BD2A50">
      <w:pPr>
        <w:pStyle w:val="Body"/>
      </w:pPr>
      <w:r w:rsidRPr="00DC4E6D">
        <w:t xml:space="preserve">The NATO grant pays for direct organizational expenses of the </w:t>
      </w:r>
      <w:r>
        <w:t xml:space="preserve">ASI as well as </w:t>
      </w:r>
      <w:r w:rsidRPr="00DC4E6D">
        <w:t>th</w:t>
      </w:r>
      <w:r>
        <w:t>e travel and living expenses of up to 15 Lecturers</w:t>
      </w:r>
      <w:r w:rsidRPr="00DC4E6D">
        <w:t xml:space="preserve">, and to </w:t>
      </w:r>
      <w:r>
        <w:t>subsidize</w:t>
      </w:r>
      <w:r w:rsidRPr="00DC4E6D">
        <w:t xml:space="preserve"> the attendance of </w:t>
      </w:r>
      <w:r>
        <w:t>Students</w:t>
      </w:r>
      <w:r w:rsidRPr="00DC4E6D">
        <w:t xml:space="preserve"> from </w:t>
      </w:r>
      <w:hyperlink w:anchor="Annex3EligibleCountries" w:history="1">
        <w:r w:rsidRPr="00DC4E6D">
          <w:rPr>
            <w:rStyle w:val="Hyperlink"/>
            <w:rFonts w:cs="Arial"/>
          </w:rPr>
          <w:t xml:space="preserve">NATO countries </w:t>
        </w:r>
      </w:hyperlink>
      <w:r w:rsidRPr="00DC4E6D">
        <w:t xml:space="preserve">and from </w:t>
      </w:r>
      <w:hyperlink w:anchor="Annex3EligibleCountries" w:history="1">
        <w:r>
          <w:rPr>
            <w:rStyle w:val="Hyperlink"/>
            <w:rFonts w:cs="Arial"/>
          </w:rPr>
          <w:t>Pa</w:t>
        </w:r>
        <w:r w:rsidRPr="00DC4E6D">
          <w:rPr>
            <w:rStyle w:val="Hyperlink"/>
            <w:rFonts w:cs="Arial"/>
          </w:rPr>
          <w:t>rtner countrie</w:t>
        </w:r>
        <w:r>
          <w:rPr>
            <w:rStyle w:val="Hyperlink"/>
            <w:rFonts w:cs="Arial"/>
          </w:rPr>
          <w:t>s eligible to receive NATO funding</w:t>
        </w:r>
        <w:r w:rsidRPr="00DC4E6D">
          <w:rPr>
            <w:rStyle w:val="Hyperlink"/>
            <w:rFonts w:cs="Arial"/>
          </w:rPr>
          <w:t xml:space="preserve"> </w:t>
        </w:r>
      </w:hyperlink>
      <w:r w:rsidRPr="00DC4E6D">
        <w:t xml:space="preserve">who are unable to obtain financial support from other sources. The organizers are expected to minimise costs by efficient organization of the </w:t>
      </w:r>
      <w:r>
        <w:t>institute</w:t>
      </w:r>
      <w:r w:rsidRPr="00DC4E6D">
        <w:t xml:space="preserve"> and the choice of location</w:t>
      </w:r>
      <w:r>
        <w:t>, and o</w:t>
      </w:r>
      <w:r w:rsidRPr="00D948DA">
        <w:t>rganizational expenses</w:t>
      </w:r>
      <w:r w:rsidRPr="00DC4E6D">
        <w:t xml:space="preserve"> should not exceed 25% of overall NATO funding.</w:t>
      </w:r>
    </w:p>
    <w:p w:rsidR="003E719A" w:rsidRPr="00DC4E6D" w:rsidRDefault="003E719A" w:rsidP="00BD2A50">
      <w:pPr>
        <w:pStyle w:val="Body"/>
      </w:pPr>
      <w:r w:rsidRPr="00DC4E6D">
        <w:t xml:space="preserve">The funding awarded for each </w:t>
      </w:r>
      <w:r>
        <w:t>ASI</w:t>
      </w:r>
      <w:r w:rsidRPr="00DC4E6D">
        <w:t xml:space="preserve"> is determined by NATO, taking into acc</w:t>
      </w:r>
      <w:r>
        <w:t>ount the number of participants</w:t>
      </w:r>
      <w:r w:rsidRPr="00DC4E6D">
        <w:t xml:space="preserve"> and the size, duration and location of the </w:t>
      </w:r>
      <w:r>
        <w:t>institute</w:t>
      </w:r>
      <w:r w:rsidRPr="00DC4E6D">
        <w:t xml:space="preserve">; typical </w:t>
      </w:r>
      <w:r>
        <w:t>ASIs</w:t>
      </w:r>
      <w:r w:rsidRPr="00DC4E6D">
        <w:t xml:space="preserve"> average</w:t>
      </w:r>
      <w:r>
        <w:t xml:space="preserve"> </w:t>
      </w:r>
      <w:r w:rsidRPr="00DC4E6D">
        <w:t xml:space="preserve">€60,000. The NATO grant will be awarded in Euro, but payment may be made in any currency desired by the Co-Directors. </w:t>
      </w:r>
      <w:r>
        <w:t>For administrative reasons, t</w:t>
      </w:r>
      <w:r w:rsidRPr="00DC4E6D">
        <w:t xml:space="preserve">he award is made to the NATO country Co-Director who is responsible for coordinating expenditures with the </w:t>
      </w:r>
      <w:r>
        <w:t>Partner</w:t>
      </w:r>
      <w:r w:rsidRPr="00DC4E6D">
        <w:t xml:space="preserve"> country Co-Director and providing financial reporting to NATO</w:t>
      </w:r>
      <w:r>
        <w:rPr>
          <w:rStyle w:val="FootnoteReference"/>
          <w:rFonts w:cs="Arial"/>
        </w:rPr>
        <w:footnoteReference w:id="1"/>
      </w:r>
      <w:r w:rsidRPr="00DC4E6D">
        <w:t>.</w:t>
      </w:r>
    </w:p>
    <w:p w:rsidR="003E719A" w:rsidRPr="00DC4E6D" w:rsidRDefault="003E719A" w:rsidP="00BD2A50">
      <w:pPr>
        <w:pStyle w:val="Body"/>
      </w:pPr>
      <w:r w:rsidRPr="00DC4E6D">
        <w:t xml:space="preserve">Many organizers find that the NATO grant attracts wider support, and joint sponsorship and support are welcome, provided that the </w:t>
      </w:r>
      <w:r>
        <w:t>institute</w:t>
      </w:r>
      <w:r w:rsidRPr="00DC4E6D">
        <w:t xml:space="preserve"> conforms to the </w:t>
      </w:r>
      <w:r>
        <w:t>ASI</w:t>
      </w:r>
      <w:r w:rsidRPr="00DC4E6D">
        <w:t xml:space="preserve"> format and is designated a "NATO Advanced </w:t>
      </w:r>
      <w:r>
        <w:t>Study Institute</w:t>
      </w:r>
      <w:r w:rsidRPr="00DC4E6D">
        <w:t>".</w:t>
      </w:r>
    </w:p>
    <w:p w:rsidR="003E719A" w:rsidRPr="00DC4E6D" w:rsidRDefault="003E719A" w:rsidP="00A81CB9">
      <w:pPr>
        <w:pStyle w:val="Heading1"/>
        <w:jc w:val="both"/>
      </w:pPr>
      <w:r w:rsidRPr="00DC4E6D">
        <w:t>Reporting</w:t>
      </w:r>
    </w:p>
    <w:p w:rsidR="003E719A" w:rsidRPr="00DC4E6D" w:rsidRDefault="003E719A" w:rsidP="00A81CB9">
      <w:pPr>
        <w:pStyle w:val="Body"/>
        <w:rPr>
          <w:b/>
          <w:bCs/>
        </w:rPr>
      </w:pPr>
      <w:r w:rsidRPr="00DC4E6D">
        <w:t xml:space="preserve">The NATO country Co-Director, in consultation with the </w:t>
      </w:r>
      <w:r>
        <w:t>Partner</w:t>
      </w:r>
      <w:r w:rsidRPr="00DC4E6D">
        <w:t xml:space="preserve"> country Co-Director, </w:t>
      </w:r>
      <w:r w:rsidRPr="00DC4E6D">
        <w:rPr>
          <w:bCs/>
        </w:rPr>
        <w:t>must</w:t>
      </w:r>
      <w:r w:rsidRPr="00DC4E6D">
        <w:t xml:space="preserve"> submit a General Report to NATO within 30 days of the end of the </w:t>
      </w:r>
      <w:r>
        <w:t>ASI</w:t>
      </w:r>
      <w:r w:rsidRPr="00DC4E6D">
        <w:t>, and a Fin</w:t>
      </w:r>
      <w:r w:rsidRPr="00DC4E6D">
        <w:rPr>
          <w:bCs/>
        </w:rPr>
        <w:t>ancial Report within 120 days.</w:t>
      </w:r>
      <w:r w:rsidRPr="00DC4E6D">
        <w:t xml:space="preserve"> </w:t>
      </w:r>
      <w:r w:rsidRPr="007D7F98">
        <w:rPr>
          <w:bCs/>
        </w:rPr>
        <w:t>S</w:t>
      </w:r>
      <w:r w:rsidRPr="00DC4E6D">
        <w:t>pecific forms for these reports can be found at the SPS website under ‘</w:t>
      </w:r>
      <w:hyperlink r:id="rId9" w:history="1">
        <w:r w:rsidRPr="00DC4E6D">
          <w:rPr>
            <w:rStyle w:val="Hyperlink"/>
            <w:rFonts w:cs="Arial"/>
          </w:rPr>
          <w:t>How to report?</w:t>
        </w:r>
      </w:hyperlink>
      <w:r w:rsidRPr="00DC4E6D">
        <w:t>’.</w:t>
      </w:r>
    </w:p>
    <w:p w:rsidR="003E719A" w:rsidRPr="00DC4E6D" w:rsidRDefault="003E719A" w:rsidP="00A81CB9">
      <w:pPr>
        <w:pStyle w:val="Heading1"/>
        <w:jc w:val="both"/>
      </w:pPr>
      <w:r w:rsidRPr="00DC4E6D">
        <w:t>Publication</w:t>
      </w:r>
    </w:p>
    <w:p w:rsidR="003E719A" w:rsidRPr="00DC4E6D" w:rsidRDefault="003E719A" w:rsidP="00A81CB9">
      <w:pPr>
        <w:pStyle w:val="Body"/>
      </w:pPr>
      <w:r w:rsidRPr="00DC4E6D">
        <w:t xml:space="preserve">Publication of the results of the </w:t>
      </w:r>
      <w:r>
        <w:t>ASI</w:t>
      </w:r>
      <w:r w:rsidRPr="00DC4E6D">
        <w:t xml:space="preserve"> as a book in the NATO </w:t>
      </w:r>
      <w:r>
        <w:t>s</w:t>
      </w:r>
      <w:r w:rsidRPr="00DC4E6D">
        <w:t xml:space="preserve">cience </w:t>
      </w:r>
      <w:r>
        <w:t>s</w:t>
      </w:r>
      <w:r w:rsidRPr="00DC4E6D">
        <w:t xml:space="preserve">eries is recommended, but coordination of the publication is the responsibility of the Co-Directors. The publication should take the form of a textbook written by a team of authors, rather than straightforward proceedings, so that the benefits of the </w:t>
      </w:r>
      <w:r>
        <w:t>ASI</w:t>
      </w:r>
      <w:r w:rsidRPr="00DC4E6D">
        <w:t xml:space="preserve"> can be extended to </w:t>
      </w:r>
      <w:r>
        <w:t>scientists</w:t>
      </w:r>
      <w:r w:rsidRPr="00DC4E6D">
        <w:t xml:space="preserve"> who did not have the opportunity to participate. </w:t>
      </w:r>
      <w:r>
        <w:t xml:space="preserve">Once it </w:t>
      </w:r>
      <w:r w:rsidRPr="00A81CB9">
        <w:t xml:space="preserve">has been accepted by the NATO </w:t>
      </w:r>
      <w:r>
        <w:t>s</w:t>
      </w:r>
      <w:r w:rsidRPr="00A81CB9">
        <w:t xml:space="preserve">cience </w:t>
      </w:r>
      <w:r>
        <w:t>s</w:t>
      </w:r>
      <w:r w:rsidRPr="00A81CB9">
        <w:t>eries publisher</w:t>
      </w:r>
      <w:r>
        <w:t xml:space="preserve">, an </w:t>
      </w:r>
      <w:r w:rsidRPr="00A81CB9">
        <w:t>additional grant may be made available for the preparation of the manuscript</w:t>
      </w:r>
      <w:r>
        <w:t xml:space="preserve">; publication outside the NATO science series is not eligible for this additional grant. </w:t>
      </w:r>
      <w:r w:rsidRPr="00A81CB9">
        <w:t>Co-ordination of the publication is the responsi</w:t>
      </w:r>
      <w:r>
        <w:t>bility of the NATO Co-Director.</w:t>
      </w:r>
    </w:p>
    <w:p w:rsidR="003E719A" w:rsidRPr="00DC4E6D" w:rsidRDefault="003E719A" w:rsidP="00A81CB9">
      <w:pPr>
        <w:pStyle w:val="Heading1"/>
        <w:jc w:val="both"/>
      </w:pPr>
      <w:r w:rsidRPr="00DC4E6D">
        <w:t>Application and Review Process</w:t>
      </w:r>
    </w:p>
    <w:p w:rsidR="003E719A" w:rsidRPr="00DC4E6D" w:rsidRDefault="003E719A" w:rsidP="00A81CB9">
      <w:pPr>
        <w:pStyle w:val="Body"/>
      </w:pPr>
      <w:r w:rsidRPr="00DC4E6D">
        <w:t xml:space="preserve">After having contacted potential </w:t>
      </w:r>
      <w:r>
        <w:t>Lecturers</w:t>
      </w:r>
      <w:r w:rsidRPr="00DC4E6D">
        <w:t xml:space="preserve"> to gauge their interest and commitment to the proposed </w:t>
      </w:r>
      <w:r>
        <w:t>ASI</w:t>
      </w:r>
      <w:r w:rsidRPr="00DC4E6D">
        <w:t xml:space="preserve">, prospective Co-Directors submit </w:t>
      </w:r>
      <w:r>
        <w:t>the</w:t>
      </w:r>
      <w:r w:rsidRPr="00DC4E6D">
        <w:t xml:space="preserve"> </w:t>
      </w:r>
      <w:r>
        <w:t xml:space="preserve">ASI </w:t>
      </w:r>
      <w:r w:rsidRPr="00DC4E6D">
        <w:t>application</w:t>
      </w:r>
      <w:r>
        <w:t xml:space="preserve">, available on the SPS website, to the SPS Programme office at </w:t>
      </w:r>
      <w:hyperlink r:id="rId10" w:history="1">
        <w:r w:rsidRPr="001D5493">
          <w:rPr>
            <w:rStyle w:val="Hyperlink"/>
            <w:rFonts w:cs="Arial"/>
          </w:rPr>
          <w:t>sps.applications@hq.nato.int</w:t>
        </w:r>
      </w:hyperlink>
      <w:r w:rsidRPr="009A121B">
        <w:t>, in Microsoft Word format if at all possible</w:t>
      </w:r>
      <w:r>
        <w:t xml:space="preserve">. </w:t>
      </w:r>
      <w:r w:rsidRPr="00ED3C77">
        <w:t xml:space="preserve">This </w:t>
      </w:r>
      <w:r>
        <w:t>application</w:t>
      </w:r>
      <w:r w:rsidRPr="00ED3C77">
        <w:t xml:space="preserve"> is reviewed by the SPS staff and by the Independent Scientific Evaluation Group (ISEG) convened by NATO</w:t>
      </w:r>
      <w:r>
        <w:t xml:space="preserve"> based on:</w:t>
      </w:r>
    </w:p>
    <w:p w:rsidR="003E719A" w:rsidRPr="00DC4E6D" w:rsidRDefault="003E719A" w:rsidP="000076EE">
      <w:pPr>
        <w:pStyle w:val="Body"/>
        <w:numPr>
          <w:ilvl w:val="0"/>
          <w:numId w:val="4"/>
        </w:numPr>
        <w:spacing w:after="0"/>
        <w:ind w:left="714" w:hanging="357"/>
      </w:pPr>
      <w:r w:rsidRPr="00DC4E6D">
        <w:t>scientific and technical</w:t>
      </w:r>
      <w:r>
        <w:t xml:space="preserve"> content </w:t>
      </w:r>
      <w:r w:rsidRPr="00DC4E6D">
        <w:t xml:space="preserve">of the proposed </w:t>
      </w:r>
      <w:r>
        <w:t>institute</w:t>
      </w:r>
    </w:p>
    <w:p w:rsidR="003E719A" w:rsidRPr="00DC4E6D" w:rsidRDefault="003E719A" w:rsidP="000076EE">
      <w:pPr>
        <w:pStyle w:val="Body"/>
        <w:numPr>
          <w:ilvl w:val="0"/>
          <w:numId w:val="4"/>
        </w:numPr>
        <w:spacing w:after="0"/>
        <w:ind w:left="714" w:hanging="357"/>
      </w:pPr>
      <w:r w:rsidRPr="00DC4E6D">
        <w:t xml:space="preserve">importance and quality of the </w:t>
      </w:r>
      <w:r>
        <w:t>institute</w:t>
      </w:r>
      <w:r w:rsidRPr="00DC4E6D">
        <w:t xml:space="preserve"> educational objectives</w:t>
      </w:r>
    </w:p>
    <w:p w:rsidR="003E719A" w:rsidRPr="00DC4E6D" w:rsidRDefault="003E719A" w:rsidP="000076EE">
      <w:pPr>
        <w:pStyle w:val="Body"/>
        <w:numPr>
          <w:ilvl w:val="0"/>
          <w:numId w:val="4"/>
        </w:numPr>
        <w:spacing w:after="0"/>
        <w:ind w:left="714" w:hanging="357"/>
      </w:pPr>
      <w:r w:rsidRPr="00DC4E6D">
        <w:t>design of the teaching programme</w:t>
      </w:r>
    </w:p>
    <w:p w:rsidR="003E719A" w:rsidRPr="00DC4E6D" w:rsidRDefault="003E719A" w:rsidP="000076EE">
      <w:pPr>
        <w:pStyle w:val="Body"/>
        <w:numPr>
          <w:ilvl w:val="0"/>
          <w:numId w:val="4"/>
        </w:numPr>
        <w:spacing w:after="0"/>
        <w:ind w:left="714" w:hanging="357"/>
      </w:pPr>
      <w:r w:rsidRPr="00DC4E6D">
        <w:t xml:space="preserve">qualifications and level of commitment of the proposed </w:t>
      </w:r>
      <w:r>
        <w:t>Lecturers</w:t>
      </w:r>
    </w:p>
    <w:p w:rsidR="003E719A" w:rsidRPr="00DC4E6D" w:rsidRDefault="003E719A" w:rsidP="000076EE">
      <w:pPr>
        <w:pStyle w:val="Body"/>
        <w:numPr>
          <w:ilvl w:val="0"/>
          <w:numId w:val="4"/>
        </w:numPr>
        <w:spacing w:after="0"/>
        <w:ind w:left="714" w:hanging="357"/>
      </w:pPr>
      <w:r>
        <w:t>institute objectives</w:t>
      </w:r>
    </w:p>
    <w:p w:rsidR="003E719A" w:rsidRPr="00DC4E6D" w:rsidRDefault="003E719A" w:rsidP="000076EE">
      <w:pPr>
        <w:pStyle w:val="Body"/>
        <w:numPr>
          <w:ilvl w:val="0"/>
          <w:numId w:val="4"/>
        </w:numPr>
        <w:ind w:left="714" w:hanging="357"/>
      </w:pPr>
      <w:r w:rsidRPr="00DC4E6D">
        <w:t xml:space="preserve">relevance </w:t>
      </w:r>
      <w:r>
        <w:t xml:space="preserve">to </w:t>
      </w:r>
      <w:r w:rsidRPr="00DC4E6D">
        <w:t xml:space="preserve">the </w:t>
      </w:r>
      <w:hyperlink w:anchor="Annex1KeyPriorities" w:history="1">
        <w:r w:rsidRPr="00DC4E6D">
          <w:rPr>
            <w:rStyle w:val="Hyperlink"/>
            <w:rFonts w:cs="Arial"/>
          </w:rPr>
          <w:t>SPS Key Priorities</w:t>
        </w:r>
      </w:hyperlink>
    </w:p>
    <w:p w:rsidR="003E719A" w:rsidRPr="00DC4E6D" w:rsidRDefault="003E719A" w:rsidP="0058543C">
      <w:pPr>
        <w:pStyle w:val="Body"/>
      </w:pPr>
      <w:r w:rsidRPr="00DC4E6D">
        <w:t xml:space="preserve">Applications recommended by the ISEG will then be reviewed by NATO which makes the final decision to fund or reject a proposed </w:t>
      </w:r>
      <w:r>
        <w:t>ASI</w:t>
      </w:r>
      <w:r w:rsidRPr="00DC4E6D">
        <w:t>.</w:t>
      </w:r>
    </w:p>
    <w:p w:rsidR="003E719A" w:rsidRPr="00DC4E6D" w:rsidRDefault="003E719A" w:rsidP="0058543C">
      <w:pPr>
        <w:pStyle w:val="Body"/>
      </w:pPr>
      <w:r>
        <w:t>Applications</w:t>
      </w:r>
      <w:r w:rsidRPr="00ED3C77">
        <w:t xml:space="preserve"> may be submitted at any time</w:t>
      </w:r>
      <w:r>
        <w:t xml:space="preserve"> and will be evaluated twice annually by the Independent Scientific Evaluation Group with deadlines for each cycle posted on the </w:t>
      </w:r>
      <w:hyperlink r:id="rId11" w:history="1">
        <w:r w:rsidRPr="00E56CC7">
          <w:rPr>
            <w:rStyle w:val="Hyperlink"/>
            <w:rFonts w:cs="Arial"/>
          </w:rPr>
          <w:t>SPS website</w:t>
        </w:r>
      </w:hyperlink>
      <w:r>
        <w:t>.</w:t>
      </w:r>
      <w:r w:rsidRPr="00DC4E6D">
        <w:t xml:space="preserve"> The overall process for a successful application, from the deadline to confirmation of funding can take up to nine months. Please plan the dates of your proposed </w:t>
      </w:r>
      <w:r>
        <w:t>ASI</w:t>
      </w:r>
      <w:r w:rsidRPr="00DC4E6D">
        <w:t xml:space="preserve"> accordingly.</w:t>
      </w:r>
    </w:p>
    <w:p w:rsidR="003E719A" w:rsidRPr="00DC4E6D" w:rsidRDefault="003E719A" w:rsidP="009D28E6">
      <w:pPr>
        <w:pStyle w:val="Heading1"/>
        <w:spacing w:before="220"/>
      </w:pPr>
      <w:r w:rsidRPr="00DC4E6D">
        <w:t>List of Annexes</w:t>
      </w:r>
    </w:p>
    <w:p w:rsidR="003E719A" w:rsidRPr="00DC4E6D" w:rsidRDefault="003E719A" w:rsidP="000076EE">
      <w:pPr>
        <w:pStyle w:val="Body"/>
        <w:numPr>
          <w:ilvl w:val="0"/>
          <w:numId w:val="3"/>
        </w:numPr>
        <w:tabs>
          <w:tab w:val="clear" w:pos="720"/>
          <w:tab w:val="num" w:pos="1418"/>
        </w:tabs>
        <w:spacing w:after="0"/>
      </w:pPr>
      <w:r w:rsidRPr="00DC4E6D">
        <w:t>SPS Key Priorities</w:t>
      </w:r>
    </w:p>
    <w:p w:rsidR="003E719A" w:rsidRDefault="003E719A" w:rsidP="000076EE">
      <w:pPr>
        <w:pStyle w:val="Body"/>
        <w:numPr>
          <w:ilvl w:val="0"/>
          <w:numId w:val="3"/>
        </w:numPr>
        <w:tabs>
          <w:tab w:val="clear" w:pos="720"/>
          <w:tab w:val="num" w:pos="1418"/>
        </w:tabs>
        <w:spacing w:after="0"/>
      </w:pPr>
      <w:r w:rsidRPr="00DC4E6D">
        <w:t>Eligible Countries</w:t>
      </w: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3E719A" w:rsidRPr="00DC4E6D">
        <w:trPr>
          <w:trHeight w:val="1881"/>
        </w:trPr>
        <w:tc>
          <w:tcPr>
            <w:tcW w:w="993" w:type="dxa"/>
            <w:tcBorders>
              <w:bottom w:val="single" w:sz="4" w:space="0" w:color="auto"/>
            </w:tcBorders>
            <w:vAlign w:val="center"/>
          </w:tcPr>
          <w:p w:rsidR="003E719A" w:rsidRPr="00DC4E6D" w:rsidRDefault="003E719A" w:rsidP="00E33755">
            <w:pPr>
              <w:jc w:val="center"/>
              <w:rPr>
                <w:b/>
                <w:bCs/>
              </w:rPr>
            </w:pPr>
            <w:r>
              <w:br w:type="page"/>
            </w:r>
            <w:bookmarkStart w:id="4" w:name="Annex1KeyPriorities"/>
            <w:bookmarkEnd w:id="4"/>
            <w:r w:rsidRPr="00CE6FD7">
              <w:rPr>
                <w:b/>
                <w:noProof/>
                <w:lang w:val="en-US"/>
              </w:rPr>
              <w:pict>
                <v:shape id="Picture 66" o:spid="_x0000_i1026" type="#_x0000_t75" style="width:45pt;height:90.6pt;visibility:visible">
                  <v:imagedata r:id="rId7" o:title=""/>
                </v:shape>
              </w:pict>
            </w:r>
          </w:p>
        </w:tc>
        <w:tc>
          <w:tcPr>
            <w:tcW w:w="9355" w:type="dxa"/>
            <w:tcBorders>
              <w:bottom w:val="single" w:sz="4" w:space="0" w:color="auto"/>
            </w:tcBorders>
            <w:vAlign w:val="center"/>
          </w:tcPr>
          <w:p w:rsidR="003E719A" w:rsidRPr="00DC4E6D" w:rsidRDefault="003E719A" w:rsidP="000A5DB2">
            <w:pPr>
              <w:spacing w:after="120"/>
              <w:jc w:val="center"/>
              <w:rPr>
                <w:b/>
                <w:bCs/>
                <w:color w:val="3487C8"/>
                <w:sz w:val="22"/>
                <w:szCs w:val="22"/>
              </w:rPr>
            </w:pPr>
            <w:r w:rsidRPr="00DC4E6D">
              <w:rPr>
                <w:b/>
                <w:bCs/>
                <w:color w:val="3487C8"/>
                <w:sz w:val="22"/>
                <w:szCs w:val="22"/>
              </w:rPr>
              <w:t>Emerging Security Challenges Division</w:t>
            </w:r>
          </w:p>
          <w:p w:rsidR="003E719A" w:rsidRPr="00DC4E6D" w:rsidRDefault="003E719A" w:rsidP="000A5DB2">
            <w:pPr>
              <w:spacing w:after="200"/>
              <w:jc w:val="center"/>
              <w:rPr>
                <w:b/>
                <w:bCs/>
                <w:color w:val="3487C8"/>
                <w:sz w:val="28"/>
                <w:szCs w:val="28"/>
              </w:rPr>
            </w:pPr>
            <w:r w:rsidRPr="00DC4E6D">
              <w:rPr>
                <w:b/>
                <w:bCs/>
                <w:color w:val="3487C8"/>
                <w:sz w:val="28"/>
                <w:szCs w:val="28"/>
              </w:rPr>
              <w:t>Science for Peace and Security Programme</w:t>
            </w:r>
          </w:p>
          <w:p w:rsidR="003E719A" w:rsidRPr="00DC4E6D" w:rsidRDefault="003E719A" w:rsidP="000A5DB2">
            <w:pPr>
              <w:spacing w:after="200"/>
              <w:jc w:val="center"/>
              <w:rPr>
                <w:rFonts w:ascii="Arial" w:hAnsi="Arial" w:cs="Arial"/>
                <w:b/>
                <w:bCs/>
                <w:color w:val="00408B"/>
                <w:sz w:val="28"/>
                <w:szCs w:val="28"/>
              </w:rPr>
            </w:pPr>
            <w:r w:rsidRPr="00DC4E6D">
              <w:rPr>
                <w:rFonts w:ascii="Arial" w:hAnsi="Arial" w:cs="Arial"/>
                <w:b/>
                <w:bCs/>
                <w:color w:val="00408B"/>
                <w:sz w:val="28"/>
                <w:szCs w:val="28"/>
              </w:rPr>
              <w:t>Guidelines for Applicants</w:t>
            </w:r>
            <w:r w:rsidRPr="00DC4E6D">
              <w:rPr>
                <w:rFonts w:ascii="Arial" w:hAnsi="Arial" w:cs="Arial"/>
                <w:b/>
                <w:bCs/>
                <w:color w:val="00408B"/>
                <w:sz w:val="28"/>
                <w:szCs w:val="28"/>
              </w:rPr>
              <w:br/>
              <w:t>ANNEX 1: SPS Key Priorities</w:t>
            </w:r>
          </w:p>
          <w:p w:rsidR="003E719A" w:rsidRPr="00DC4E6D" w:rsidRDefault="003E719A" w:rsidP="000A5DB2">
            <w:pPr>
              <w:jc w:val="center"/>
              <w:rPr>
                <w:b/>
                <w:bCs/>
              </w:rPr>
            </w:pPr>
            <w:r w:rsidRPr="00DC4E6D">
              <w:rPr>
                <w:szCs w:val="18"/>
              </w:rPr>
              <w:t xml:space="preserve">NATO Emerging Security Challenges Division, SPS Programme, Bd. Léopold III, </w:t>
            </w:r>
            <w:r w:rsidRPr="00DC4E6D" w:rsidDel="00C17795">
              <w:rPr>
                <w:szCs w:val="18"/>
              </w:rPr>
              <w:t>B-</w:t>
            </w:r>
            <w:r w:rsidRPr="00DC4E6D">
              <w:rPr>
                <w:szCs w:val="18"/>
              </w:rPr>
              <w:t>1110 Brussels, Belgium</w:t>
            </w:r>
          </w:p>
        </w:tc>
      </w:tr>
    </w:tbl>
    <w:p w:rsidR="003E719A" w:rsidRPr="00DC4E6D" w:rsidRDefault="003E719A" w:rsidP="00F3542A">
      <w:pPr>
        <w:spacing w:before="120" w:after="60"/>
        <w:jc w:val="both"/>
        <w:rPr>
          <w:rFonts w:ascii="Arial" w:hAnsi="Arial" w:cs="Arial"/>
          <w:sz w:val="20"/>
        </w:rPr>
      </w:pPr>
      <w:r w:rsidRPr="00DC4E6D">
        <w:rPr>
          <w:rFonts w:ascii="Arial" w:hAnsi="Arial" w:cs="Arial"/>
          <w:sz w:val="20"/>
        </w:rPr>
        <w:t>All activities funded under the SPS Programme must address the SPS Key Priorities listed below and must have a clear link to security and to NATO’s strategic objectives.</w:t>
      </w:r>
    </w:p>
    <w:p w:rsidR="003E719A" w:rsidRPr="00DC4E6D" w:rsidRDefault="003E719A" w:rsidP="000076EE">
      <w:pPr>
        <w:numPr>
          <w:ilvl w:val="0"/>
          <w:numId w:val="2"/>
        </w:numPr>
        <w:jc w:val="both"/>
        <w:rPr>
          <w:rFonts w:ascii="Arial" w:hAnsi="Arial" w:cs="Arial"/>
          <w:b/>
          <w:sz w:val="20"/>
        </w:rPr>
      </w:pPr>
      <w:r w:rsidRPr="00DC4E6D">
        <w:rPr>
          <w:rFonts w:ascii="Arial" w:hAnsi="Arial" w:cs="Arial"/>
          <w:b/>
          <w:sz w:val="20"/>
        </w:rPr>
        <w:t>Facilitate mutually beneficial cooperation on issues of common interest, including international efforts to meet emerging security challenges</w:t>
      </w:r>
    </w:p>
    <w:p w:rsidR="003E719A" w:rsidRPr="00DC4E6D" w:rsidRDefault="003E719A" w:rsidP="000076EE">
      <w:pPr>
        <w:numPr>
          <w:ilvl w:val="1"/>
          <w:numId w:val="2"/>
        </w:numPr>
        <w:jc w:val="both"/>
        <w:rPr>
          <w:rFonts w:ascii="Arial" w:hAnsi="Arial" w:cs="Arial"/>
          <w:i/>
          <w:sz w:val="20"/>
        </w:rPr>
      </w:pPr>
      <w:r w:rsidRPr="00DC4E6D">
        <w:rPr>
          <w:rFonts w:ascii="Arial" w:hAnsi="Arial" w:cs="Arial"/>
          <w:i/>
          <w:sz w:val="20"/>
        </w:rPr>
        <w:t>Counter-Terrorism</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Methods for the protection of critical infrastructure, supplies and personnel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Human factors in the defence against terrorism</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Detection technologies against the terrorist threat for explosive devices and other illicit activities</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Risk management, best practices and technologies in response to terrorism.</w:t>
      </w:r>
    </w:p>
    <w:p w:rsidR="003E719A" w:rsidRPr="00DC4E6D" w:rsidRDefault="003E719A" w:rsidP="000076EE">
      <w:pPr>
        <w:numPr>
          <w:ilvl w:val="1"/>
          <w:numId w:val="2"/>
        </w:numPr>
        <w:jc w:val="both"/>
        <w:rPr>
          <w:rFonts w:ascii="Arial" w:hAnsi="Arial" w:cs="Arial"/>
          <w:i/>
          <w:sz w:val="20"/>
        </w:rPr>
      </w:pPr>
      <w:r w:rsidRPr="00DC4E6D">
        <w:rPr>
          <w:rFonts w:ascii="Arial" w:hAnsi="Arial" w:cs="Arial"/>
          <w:i/>
          <w:sz w:val="20"/>
        </w:rPr>
        <w:t xml:space="preserve">Energy Security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Innovative energy solutions for the military; battlefield energy solutions; renewable energy solutions with military applications;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Energy infrastructure security;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Maritime aspects of energy security;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Technological aspects of energy security.</w:t>
      </w:r>
    </w:p>
    <w:p w:rsidR="003E719A" w:rsidRPr="00DC4E6D" w:rsidRDefault="003E719A" w:rsidP="000076EE">
      <w:pPr>
        <w:numPr>
          <w:ilvl w:val="1"/>
          <w:numId w:val="2"/>
        </w:numPr>
        <w:jc w:val="both"/>
        <w:rPr>
          <w:rFonts w:ascii="Arial" w:hAnsi="Arial" w:cs="Arial"/>
          <w:i/>
          <w:sz w:val="20"/>
        </w:rPr>
      </w:pPr>
      <w:r w:rsidRPr="00DC4E6D">
        <w:rPr>
          <w:rFonts w:ascii="Arial" w:hAnsi="Arial" w:cs="Arial"/>
          <w:i/>
          <w:sz w:val="20"/>
        </w:rPr>
        <w:t xml:space="preserve">Cyber Defence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Critical infrastructure protection, including sharing of best practices, capacity building and policies;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Support in developing cyber defence capabilities, including new technologies and support to the construction of information technology infrastructure;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Cyber defence situation awareness.</w:t>
      </w:r>
    </w:p>
    <w:p w:rsidR="003E719A" w:rsidRPr="00DC4E6D" w:rsidRDefault="003E719A" w:rsidP="000076EE">
      <w:pPr>
        <w:numPr>
          <w:ilvl w:val="1"/>
          <w:numId w:val="2"/>
        </w:numPr>
        <w:jc w:val="both"/>
        <w:rPr>
          <w:rFonts w:ascii="Arial" w:hAnsi="Arial" w:cs="Arial"/>
          <w:i/>
          <w:sz w:val="20"/>
        </w:rPr>
      </w:pPr>
      <w:r w:rsidRPr="00DC4E6D">
        <w:rPr>
          <w:rFonts w:ascii="Arial" w:hAnsi="Arial" w:cs="Arial"/>
          <w:i/>
          <w:sz w:val="20"/>
        </w:rPr>
        <w:t xml:space="preserve">Defence against CBRN Agents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Methods and technology regarding the protection against, diagnosing effects, detection, decontamination, destruction, disposal and containment of CBRN agents;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Risk management and recovery strategies and technologies;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Medical countermeasures against CBRN agents. </w:t>
      </w:r>
    </w:p>
    <w:p w:rsidR="003E719A" w:rsidRPr="00DC4E6D" w:rsidRDefault="003E719A" w:rsidP="000076EE">
      <w:pPr>
        <w:numPr>
          <w:ilvl w:val="1"/>
          <w:numId w:val="2"/>
        </w:numPr>
        <w:jc w:val="both"/>
        <w:rPr>
          <w:rFonts w:ascii="Arial" w:hAnsi="Arial" w:cs="Arial"/>
          <w:i/>
          <w:sz w:val="20"/>
        </w:rPr>
      </w:pPr>
      <w:r w:rsidRPr="00DC4E6D">
        <w:rPr>
          <w:rFonts w:ascii="Arial" w:hAnsi="Arial" w:cs="Arial"/>
          <w:i/>
          <w:sz w:val="20"/>
        </w:rPr>
        <w:t xml:space="preserve">Environmental Security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Security issues arising from key environmental and resource constraints, including health risks, climate change, water scarcity and increasing energy needs, which have the potential to significantly affect NATO’s planning and operations;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Disaster forecast and prevention of natural catastrophes;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Defence-related environmental issues. </w:t>
      </w:r>
    </w:p>
    <w:p w:rsidR="003E719A" w:rsidRPr="00DC4E6D" w:rsidRDefault="003E719A" w:rsidP="000076EE">
      <w:pPr>
        <w:numPr>
          <w:ilvl w:val="0"/>
          <w:numId w:val="2"/>
        </w:numPr>
        <w:jc w:val="both"/>
        <w:rPr>
          <w:rFonts w:ascii="Arial" w:hAnsi="Arial" w:cs="Arial"/>
          <w:b/>
          <w:sz w:val="20"/>
        </w:rPr>
      </w:pPr>
      <w:r w:rsidRPr="00DC4E6D">
        <w:rPr>
          <w:rFonts w:ascii="Arial" w:hAnsi="Arial" w:cs="Arial"/>
          <w:b/>
          <w:sz w:val="20"/>
        </w:rPr>
        <w:t xml:space="preserve">Enhance support for NATO-led operations and missions </w:t>
      </w:r>
    </w:p>
    <w:p w:rsidR="003E719A" w:rsidRPr="00DC4E6D" w:rsidRDefault="003E719A" w:rsidP="000076EE">
      <w:pPr>
        <w:numPr>
          <w:ilvl w:val="1"/>
          <w:numId w:val="2"/>
        </w:numPr>
        <w:jc w:val="both"/>
        <w:rPr>
          <w:rFonts w:ascii="Arial" w:hAnsi="Arial" w:cs="Arial"/>
          <w:sz w:val="20"/>
        </w:rPr>
      </w:pPr>
      <w:r w:rsidRPr="00DC4E6D">
        <w:rPr>
          <w:rFonts w:ascii="Arial" w:hAnsi="Arial" w:cs="Arial"/>
          <w:sz w:val="20"/>
        </w:rPr>
        <w:t xml:space="preserve">Provision of civilian support through SPS Key Priorities; </w:t>
      </w:r>
    </w:p>
    <w:p w:rsidR="003E719A" w:rsidRPr="00DC4E6D" w:rsidRDefault="003E719A" w:rsidP="000076EE">
      <w:pPr>
        <w:numPr>
          <w:ilvl w:val="1"/>
          <w:numId w:val="2"/>
        </w:numPr>
        <w:jc w:val="both"/>
        <w:rPr>
          <w:rFonts w:ascii="Arial" w:hAnsi="Arial" w:cs="Arial"/>
          <w:sz w:val="20"/>
        </w:rPr>
      </w:pPr>
      <w:r w:rsidRPr="00DC4E6D">
        <w:rPr>
          <w:rFonts w:ascii="Arial" w:hAnsi="Arial" w:cs="Arial"/>
          <w:sz w:val="20"/>
        </w:rPr>
        <w:t xml:space="preserve">Provision of access to information through internet connectivity as in the SILK-Afghanistan Programme; </w:t>
      </w:r>
    </w:p>
    <w:p w:rsidR="003E719A" w:rsidRPr="00DC4E6D" w:rsidRDefault="003E719A" w:rsidP="000076EE">
      <w:pPr>
        <w:numPr>
          <w:ilvl w:val="1"/>
          <w:numId w:val="2"/>
        </w:numPr>
        <w:jc w:val="both"/>
        <w:rPr>
          <w:rFonts w:ascii="Arial" w:hAnsi="Arial" w:cs="Arial"/>
          <w:sz w:val="20"/>
        </w:rPr>
      </w:pPr>
      <w:r w:rsidRPr="00DC4E6D">
        <w:rPr>
          <w:rFonts w:ascii="Arial" w:hAnsi="Arial" w:cs="Arial"/>
          <w:sz w:val="20"/>
        </w:rPr>
        <w:t xml:space="preserve">Cultural and social aspects in military operations and missions; </w:t>
      </w:r>
    </w:p>
    <w:p w:rsidR="003E719A" w:rsidRPr="00DC4E6D" w:rsidRDefault="003E719A" w:rsidP="000076EE">
      <w:pPr>
        <w:numPr>
          <w:ilvl w:val="1"/>
          <w:numId w:val="2"/>
        </w:numPr>
        <w:jc w:val="both"/>
        <w:rPr>
          <w:rFonts w:ascii="Arial" w:hAnsi="Arial" w:cs="Arial"/>
          <w:sz w:val="20"/>
        </w:rPr>
      </w:pPr>
      <w:r w:rsidRPr="00DC4E6D">
        <w:rPr>
          <w:rFonts w:ascii="Arial" w:hAnsi="Arial" w:cs="Arial"/>
          <w:sz w:val="20"/>
        </w:rPr>
        <w:t>Enhancing cooperation with other international actors.</w:t>
      </w:r>
    </w:p>
    <w:p w:rsidR="003E719A" w:rsidRPr="00DC4E6D" w:rsidRDefault="003E719A" w:rsidP="000076EE">
      <w:pPr>
        <w:numPr>
          <w:ilvl w:val="0"/>
          <w:numId w:val="2"/>
        </w:numPr>
        <w:jc w:val="both"/>
        <w:rPr>
          <w:rFonts w:ascii="Arial" w:hAnsi="Arial" w:cs="Arial"/>
          <w:b/>
          <w:sz w:val="20"/>
        </w:rPr>
      </w:pPr>
      <w:r w:rsidRPr="00DC4E6D">
        <w:rPr>
          <w:rFonts w:ascii="Arial" w:hAnsi="Arial" w:cs="Arial"/>
          <w:b/>
          <w:sz w:val="20"/>
        </w:rPr>
        <w:t xml:space="preserve">Enhance awareness on security developments including through early warning, with a view to preventing crises </w:t>
      </w:r>
    </w:p>
    <w:p w:rsidR="003E719A" w:rsidRPr="00DC4E6D" w:rsidRDefault="003E719A" w:rsidP="000076EE">
      <w:pPr>
        <w:numPr>
          <w:ilvl w:val="1"/>
          <w:numId w:val="2"/>
        </w:numPr>
        <w:jc w:val="both"/>
        <w:rPr>
          <w:rFonts w:ascii="Arial" w:hAnsi="Arial" w:cs="Arial"/>
          <w:i/>
          <w:sz w:val="20"/>
        </w:rPr>
      </w:pPr>
      <w:r w:rsidRPr="00DC4E6D">
        <w:rPr>
          <w:rFonts w:ascii="Arial" w:hAnsi="Arial" w:cs="Arial"/>
          <w:i/>
          <w:sz w:val="20"/>
        </w:rPr>
        <w:t>Security-related Advanced Technology:</w:t>
      </w:r>
    </w:p>
    <w:p w:rsidR="003E719A" w:rsidRPr="00DC4E6D" w:rsidRDefault="003E719A" w:rsidP="00234914">
      <w:pPr>
        <w:ind w:left="720"/>
        <w:jc w:val="both"/>
        <w:rPr>
          <w:rFonts w:ascii="Arial" w:hAnsi="Arial" w:cs="Arial"/>
          <w:sz w:val="20"/>
        </w:rPr>
      </w:pPr>
      <w:r w:rsidRPr="00DC4E6D">
        <w:rPr>
          <w:rFonts w:ascii="Arial" w:hAnsi="Arial" w:cs="Arial"/>
          <w:sz w:val="20"/>
        </w:rPr>
        <w:t>Emerging technologies including nanotechnology, optical technology, micro satellites, metallurgy and the development of UAV platforms.</w:t>
      </w:r>
    </w:p>
    <w:p w:rsidR="003E719A" w:rsidRPr="00DC4E6D" w:rsidRDefault="003E719A" w:rsidP="000076EE">
      <w:pPr>
        <w:numPr>
          <w:ilvl w:val="1"/>
          <w:numId w:val="2"/>
        </w:numPr>
        <w:jc w:val="both"/>
        <w:rPr>
          <w:rFonts w:ascii="Arial" w:hAnsi="Arial" w:cs="Arial"/>
          <w:i/>
          <w:sz w:val="20"/>
        </w:rPr>
      </w:pPr>
      <w:r w:rsidRPr="00DC4E6D">
        <w:rPr>
          <w:rFonts w:ascii="Arial" w:hAnsi="Arial" w:cs="Arial"/>
          <w:i/>
          <w:sz w:val="20"/>
        </w:rPr>
        <w:t xml:space="preserve">Border and Port Security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Border and port security technology;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Cross border communication systems and data fusion;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Expert advice and assessments of border security needs and best practice. </w:t>
      </w:r>
    </w:p>
    <w:p w:rsidR="003E719A" w:rsidRPr="00DC4E6D" w:rsidRDefault="003E719A" w:rsidP="000076EE">
      <w:pPr>
        <w:numPr>
          <w:ilvl w:val="1"/>
          <w:numId w:val="2"/>
        </w:numPr>
        <w:jc w:val="both"/>
        <w:rPr>
          <w:rFonts w:ascii="Arial" w:hAnsi="Arial" w:cs="Arial"/>
          <w:i/>
          <w:sz w:val="20"/>
        </w:rPr>
      </w:pPr>
      <w:r w:rsidRPr="00DC4E6D">
        <w:rPr>
          <w:rFonts w:ascii="Arial" w:hAnsi="Arial" w:cs="Arial"/>
          <w:i/>
          <w:sz w:val="20"/>
        </w:rPr>
        <w:t xml:space="preserve">Mine and Unexploded Ordnance Detection and Clearance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 xml:space="preserve">Development and provision of advanced technologies, methodologies and best practice; </w:t>
      </w:r>
    </w:p>
    <w:p w:rsidR="003E719A" w:rsidRPr="00DC4E6D" w:rsidRDefault="003E719A" w:rsidP="000076EE">
      <w:pPr>
        <w:numPr>
          <w:ilvl w:val="2"/>
          <w:numId w:val="2"/>
        </w:numPr>
        <w:jc w:val="both"/>
        <w:rPr>
          <w:rFonts w:ascii="Arial" w:hAnsi="Arial" w:cs="Arial"/>
          <w:sz w:val="20"/>
        </w:rPr>
      </w:pPr>
      <w:r w:rsidRPr="00DC4E6D">
        <w:rPr>
          <w:rFonts w:ascii="Arial" w:hAnsi="Arial" w:cs="Arial"/>
          <w:sz w:val="20"/>
        </w:rPr>
        <w:t>Solutions to counter improvised explosive devices (IED).</w:t>
      </w:r>
    </w:p>
    <w:p w:rsidR="003E719A" w:rsidRPr="007C5F59" w:rsidRDefault="003E719A" w:rsidP="007C5F59">
      <w:pPr>
        <w:numPr>
          <w:ilvl w:val="1"/>
          <w:numId w:val="2"/>
        </w:numPr>
        <w:jc w:val="both"/>
        <w:rPr>
          <w:rFonts w:ascii="Arial" w:hAnsi="Arial" w:cs="Arial"/>
          <w:sz w:val="20"/>
        </w:rPr>
      </w:pPr>
      <w:r w:rsidRPr="007C5F59">
        <w:rPr>
          <w:rFonts w:ascii="Arial" w:hAnsi="Arial" w:cs="Arial"/>
          <w:sz w:val="20"/>
        </w:rPr>
        <w:t xml:space="preserve">Human and Social Aspects of Security related to NATO’s strategic objectives </w:t>
      </w:r>
    </w:p>
    <w:p w:rsidR="003E719A" w:rsidRPr="000076EE" w:rsidRDefault="003E719A" w:rsidP="000076EE">
      <w:pPr>
        <w:numPr>
          <w:ilvl w:val="0"/>
          <w:numId w:val="2"/>
        </w:numPr>
        <w:jc w:val="both"/>
        <w:rPr>
          <w:rFonts w:ascii="Arial" w:hAnsi="Arial" w:cs="Arial"/>
          <w:b/>
          <w:sz w:val="20"/>
        </w:rPr>
      </w:pPr>
      <w:r w:rsidRPr="000076EE">
        <w:rPr>
          <w:rFonts w:ascii="Arial" w:hAnsi="Arial" w:cs="Arial"/>
          <w:b/>
          <w:sz w:val="20"/>
        </w:rPr>
        <w:t>Any project related clearly linked to a threat to security not otherwise defined in these priorities may also be considered for funding under the SPS Programme. Such proposals will be examined for links to NATO’s Strategic Objectives.</w:t>
      </w: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3E719A" w:rsidRPr="00DC4E6D">
        <w:trPr>
          <w:trHeight w:val="1881"/>
        </w:trPr>
        <w:tc>
          <w:tcPr>
            <w:tcW w:w="993" w:type="dxa"/>
            <w:tcBorders>
              <w:bottom w:val="single" w:sz="4" w:space="0" w:color="auto"/>
            </w:tcBorders>
            <w:vAlign w:val="center"/>
          </w:tcPr>
          <w:p w:rsidR="003E719A" w:rsidRPr="00DC4E6D" w:rsidRDefault="003E719A" w:rsidP="00A203DD">
            <w:pPr>
              <w:jc w:val="center"/>
              <w:rPr>
                <w:b/>
                <w:bCs/>
              </w:rPr>
            </w:pPr>
            <w:r>
              <w:rPr>
                <w:rFonts w:ascii="Arial" w:hAnsi="Arial" w:cs="Arial"/>
                <w:b/>
                <w:sz w:val="20"/>
              </w:rPr>
              <w:br w:type="page"/>
            </w:r>
            <w:bookmarkStart w:id="5" w:name="Annex3EligibleCountries"/>
            <w:bookmarkEnd w:id="5"/>
            <w:r w:rsidRPr="00CE6FD7">
              <w:rPr>
                <w:b/>
                <w:noProof/>
                <w:lang w:val="en-US"/>
              </w:rPr>
              <w:pict>
                <v:shape id="Picture 53" o:spid="_x0000_i1027" type="#_x0000_t75" style="width:45pt;height:90.6pt;visibility:visible">
                  <v:imagedata r:id="rId7" o:title=""/>
                </v:shape>
              </w:pict>
            </w:r>
          </w:p>
        </w:tc>
        <w:tc>
          <w:tcPr>
            <w:tcW w:w="9355" w:type="dxa"/>
            <w:tcBorders>
              <w:bottom w:val="single" w:sz="4" w:space="0" w:color="auto"/>
            </w:tcBorders>
            <w:vAlign w:val="center"/>
          </w:tcPr>
          <w:p w:rsidR="003E719A" w:rsidRPr="00DC4E6D" w:rsidRDefault="003E719A" w:rsidP="00090D7A">
            <w:pPr>
              <w:spacing w:after="120"/>
              <w:jc w:val="center"/>
              <w:rPr>
                <w:b/>
                <w:bCs/>
                <w:color w:val="3487C8"/>
                <w:sz w:val="22"/>
                <w:szCs w:val="22"/>
              </w:rPr>
            </w:pPr>
            <w:r w:rsidRPr="00DC4E6D">
              <w:rPr>
                <w:b/>
                <w:bCs/>
                <w:color w:val="3487C8"/>
                <w:sz w:val="22"/>
                <w:szCs w:val="22"/>
              </w:rPr>
              <w:t>Emerging Security Challenges Division</w:t>
            </w:r>
          </w:p>
          <w:p w:rsidR="003E719A" w:rsidRPr="00DC4E6D" w:rsidRDefault="003E719A" w:rsidP="00090D7A">
            <w:pPr>
              <w:spacing w:after="200"/>
              <w:jc w:val="center"/>
              <w:rPr>
                <w:b/>
                <w:bCs/>
                <w:color w:val="3487C8"/>
                <w:sz w:val="28"/>
                <w:szCs w:val="28"/>
              </w:rPr>
            </w:pPr>
            <w:r w:rsidRPr="00DC4E6D">
              <w:rPr>
                <w:b/>
                <w:bCs/>
                <w:color w:val="3487C8"/>
                <w:sz w:val="28"/>
                <w:szCs w:val="28"/>
              </w:rPr>
              <w:t>Science for Peace and Security Programme</w:t>
            </w:r>
          </w:p>
          <w:p w:rsidR="003E719A" w:rsidRPr="00DC4E6D" w:rsidRDefault="003E719A" w:rsidP="00090D7A">
            <w:pPr>
              <w:spacing w:after="200"/>
              <w:jc w:val="center"/>
              <w:rPr>
                <w:rFonts w:ascii="Arial" w:hAnsi="Arial" w:cs="Arial"/>
                <w:b/>
                <w:bCs/>
                <w:color w:val="00408B"/>
                <w:sz w:val="28"/>
                <w:szCs w:val="28"/>
              </w:rPr>
            </w:pPr>
            <w:r w:rsidRPr="00DC4E6D">
              <w:rPr>
                <w:rFonts w:ascii="Arial" w:hAnsi="Arial" w:cs="Arial"/>
                <w:b/>
                <w:bCs/>
                <w:color w:val="00408B"/>
                <w:sz w:val="28"/>
                <w:szCs w:val="28"/>
              </w:rPr>
              <w:t>Guidelines for Applicants</w:t>
            </w:r>
            <w:r w:rsidRPr="00DC4E6D">
              <w:rPr>
                <w:rFonts w:ascii="Arial" w:hAnsi="Arial" w:cs="Arial"/>
                <w:b/>
                <w:bCs/>
                <w:color w:val="00408B"/>
                <w:sz w:val="28"/>
                <w:szCs w:val="28"/>
              </w:rPr>
              <w:br/>
              <w:t>ANNEX 2: Eligible Countries</w:t>
            </w:r>
          </w:p>
          <w:p w:rsidR="003E719A" w:rsidRPr="00DC4E6D" w:rsidRDefault="003E719A" w:rsidP="00090D7A">
            <w:pPr>
              <w:jc w:val="center"/>
              <w:rPr>
                <w:b/>
                <w:bCs/>
              </w:rPr>
            </w:pPr>
            <w:r w:rsidRPr="00DC4E6D">
              <w:rPr>
                <w:szCs w:val="18"/>
              </w:rPr>
              <w:t xml:space="preserve">NATO Emerging Security Challenges Division, SPS Programme, Bd. Léopold III, </w:t>
            </w:r>
            <w:r w:rsidRPr="00DC4E6D" w:rsidDel="00C17795">
              <w:rPr>
                <w:szCs w:val="18"/>
              </w:rPr>
              <w:t>B-</w:t>
            </w:r>
            <w:r w:rsidRPr="00DC4E6D">
              <w:rPr>
                <w:szCs w:val="18"/>
              </w:rPr>
              <w:t>1110 Brussels, Belgium</w:t>
            </w:r>
          </w:p>
        </w:tc>
      </w:tr>
    </w:tbl>
    <w:p w:rsidR="003E719A" w:rsidRPr="00DC4E6D" w:rsidRDefault="003E719A" w:rsidP="00B82A05">
      <w:pPr>
        <w:pStyle w:val="Heading1"/>
      </w:pPr>
      <w:r w:rsidRPr="00DC4E6D">
        <w:t>NATO Countries</w:t>
      </w:r>
      <w:bookmarkEnd w:id="1"/>
    </w:p>
    <w:p w:rsidR="003E719A" w:rsidRPr="00DC4E6D" w:rsidRDefault="003E719A" w:rsidP="0058543C">
      <w:pPr>
        <w:pStyle w:val="Body"/>
      </w:pPr>
      <w:r w:rsidRPr="00DC4E6D">
        <w:t xml:space="preserve">Albania, Belgium, Bulgaria, Canada, Croatia, Czech Republic, Denmark, Estonia, France, Germany, Greece, Hungary, Iceland, Italy, Latvia, Lithuania, Luxembourg, Netherlands, Norway, Poland, Portugal, Romania, Slovak Republic, Slovenia, Spain, </w:t>
      </w:r>
      <w:r>
        <w:t>T</w:t>
      </w:r>
      <w:r w:rsidRPr="00DC4E6D">
        <w:t>urkey, United Kingdom, United States</w:t>
      </w:r>
    </w:p>
    <w:p w:rsidR="003E719A" w:rsidRPr="00DC4E6D" w:rsidRDefault="003E719A" w:rsidP="00B82A05">
      <w:pPr>
        <w:pStyle w:val="Heading1"/>
      </w:pPr>
      <w:bookmarkStart w:id="6" w:name="_Toc326767648"/>
      <w:r w:rsidRPr="00DC4E6D">
        <w:t>Partner</w:t>
      </w:r>
      <w:bookmarkEnd w:id="6"/>
      <w:r>
        <w:t xml:space="preserve"> Countries</w:t>
      </w:r>
      <w:r>
        <w:tab/>
      </w:r>
      <w:r w:rsidRPr="0089453F">
        <w:rPr>
          <w:rStyle w:val="Instructions"/>
          <w:szCs w:val="18"/>
        </w:rPr>
        <w:t>all are eligible to participate as</w:t>
      </w:r>
      <w:r>
        <w:rPr>
          <w:rStyle w:val="Instructions"/>
          <w:szCs w:val="18"/>
        </w:rPr>
        <w:t xml:space="preserve"> Co-Directors,</w:t>
      </w:r>
      <w:r w:rsidRPr="0089453F">
        <w:rPr>
          <w:rStyle w:val="Instructions"/>
          <w:szCs w:val="18"/>
        </w:rPr>
        <w:t xml:space="preserve"> Lecturers</w:t>
      </w:r>
      <w:r>
        <w:rPr>
          <w:rStyle w:val="Instructions"/>
          <w:szCs w:val="18"/>
        </w:rPr>
        <w:t>,</w:t>
      </w:r>
      <w:r w:rsidRPr="0089453F">
        <w:rPr>
          <w:rStyle w:val="Instructions"/>
          <w:szCs w:val="18"/>
        </w:rPr>
        <w:t xml:space="preserve"> or Students</w:t>
      </w:r>
    </w:p>
    <w:p w:rsidR="003E719A" w:rsidRPr="00DC4E6D" w:rsidRDefault="003E719A" w:rsidP="00B82A05">
      <w:pPr>
        <w:pStyle w:val="Heading2"/>
      </w:pPr>
      <w:r>
        <w:t>Students</w:t>
      </w:r>
      <w:r w:rsidRPr="00DC4E6D">
        <w:t xml:space="preserve"> eligible for up to 100% </w:t>
      </w:r>
      <w:r>
        <w:t xml:space="preserve">NATO </w:t>
      </w:r>
      <w:r w:rsidRPr="00DC4E6D">
        <w:t>subsidy</w:t>
      </w:r>
    </w:p>
    <w:p w:rsidR="003E719A" w:rsidRPr="00DC4E6D" w:rsidRDefault="003E719A" w:rsidP="0058543C">
      <w:pPr>
        <w:pStyle w:val="Body"/>
      </w:pPr>
      <w:r w:rsidRPr="00DC4E6D">
        <w:t>Afghanistan, Algeria, Armenia, Azerbaijan, Bosnia and Herzegovina, Egypt, Georgia, Iraq, Jordan, Kyrgyz Republic, Mauritania, Moldova, Mongolia, Morocco, Pakistan, Tajikistan, Tunisia, Turkmenistan, Ukraine, Uzbekistan.</w:t>
      </w:r>
    </w:p>
    <w:p w:rsidR="003E719A" w:rsidRPr="00DC4E6D" w:rsidRDefault="003E719A" w:rsidP="00BE68F3">
      <w:pPr>
        <w:pStyle w:val="Heading2"/>
      </w:pPr>
      <w:r>
        <w:t>Students</w:t>
      </w:r>
      <w:r w:rsidRPr="00DC4E6D">
        <w:t xml:space="preserve"> eligible for up to 80% NATO subsidy</w:t>
      </w:r>
    </w:p>
    <w:p w:rsidR="003E719A" w:rsidRPr="00DC4E6D" w:rsidRDefault="003E719A" w:rsidP="0058543C">
      <w:pPr>
        <w:pStyle w:val="Body"/>
      </w:pPr>
      <w:r w:rsidRPr="00DC4E6D">
        <w:t>Belarus, Kazakhstan, Montenegro, Serbia, the former Yugoslav Republic of Macedonia</w:t>
      </w:r>
      <w:r w:rsidRPr="00DC4E6D">
        <w:rPr>
          <w:rStyle w:val="FootnoteReference"/>
          <w:rFonts w:cs="Arial"/>
        </w:rPr>
        <w:footnoteReference w:id="2"/>
      </w:r>
      <w:r w:rsidRPr="00DC4E6D">
        <w:t>,</w:t>
      </w:r>
    </w:p>
    <w:p w:rsidR="003E719A" w:rsidRPr="00DC4E6D" w:rsidRDefault="003E719A" w:rsidP="00BE68F3">
      <w:pPr>
        <w:pStyle w:val="Heading2"/>
      </w:pPr>
      <w:r>
        <w:t>Students</w:t>
      </w:r>
      <w:r w:rsidRPr="00DC4E6D">
        <w:t xml:space="preserve"> not eligible for NATO subsidy</w:t>
      </w:r>
    </w:p>
    <w:p w:rsidR="003E719A" w:rsidRPr="00DC4E6D" w:rsidRDefault="003E719A" w:rsidP="0058543C">
      <w:pPr>
        <w:pStyle w:val="Body"/>
      </w:pPr>
      <w:r w:rsidRPr="00DC4E6D">
        <w:t>Australia, Austria, Bahrain, Finland, Ireland, Israel, Japan, Kuwait, Malta, New Zealand, Qatar, Republic of Korea, Russian Federation, Sweden, Switzerland, United Arab Emirates</w:t>
      </w:r>
    </w:p>
    <w:sectPr w:rsidR="003E719A" w:rsidRPr="00DC4E6D" w:rsidSect="009A2BCD">
      <w:headerReference w:type="even" r:id="rId12"/>
      <w:headerReference w:type="default" r:id="rId13"/>
      <w:footerReference w:type="even" r:id="rId14"/>
      <w:footerReference w:type="default" r:id="rId15"/>
      <w:headerReference w:type="first" r:id="rId16"/>
      <w:footerReference w:type="first" r:id="rId17"/>
      <w:footnotePr>
        <w:numFmt w:val="chicago"/>
        <w:numRestart w:val="eachPage"/>
      </w:footnotePr>
      <w:pgSz w:w="12240" w:h="15840"/>
      <w:pgMar w:top="340" w:right="907" w:bottom="340" w:left="907" w:header="708" w:footer="708" w:gutter="0"/>
      <w:pgNumType w:start="1"/>
      <w:cols w:space="708"/>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719A" w:rsidRDefault="003E719A">
      <w:r>
        <w:separator/>
      </w:r>
    </w:p>
  </w:endnote>
  <w:endnote w:type="continuationSeparator" w:id="0">
    <w:p w:rsidR="003E719A" w:rsidRDefault="003E719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19A" w:rsidRDefault="003E719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19A" w:rsidRPr="00803E52" w:rsidRDefault="003E719A" w:rsidP="00803E52">
    <w:pPr>
      <w:pStyle w:val="Footer"/>
      <w:jc w:val="center"/>
      <w:rPr>
        <w:rFonts w:ascii="Arial" w:hAnsi="Arial" w:cs="Arial"/>
        <w:lang w:val="en-US"/>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19A" w:rsidRDefault="003E719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719A" w:rsidRDefault="003E719A">
      <w:r>
        <w:separator/>
      </w:r>
    </w:p>
  </w:footnote>
  <w:footnote w:type="continuationSeparator" w:id="0">
    <w:p w:rsidR="003E719A" w:rsidRDefault="003E719A">
      <w:r>
        <w:continuationSeparator/>
      </w:r>
    </w:p>
  </w:footnote>
  <w:footnote w:id="1">
    <w:p w:rsidR="003E719A" w:rsidRDefault="003E719A" w:rsidP="00DF6C67">
      <w:pPr>
        <w:pStyle w:val="FootnoteText"/>
      </w:pPr>
      <w:r w:rsidRPr="007A0CD3">
        <w:rPr>
          <w:rStyle w:val="FootnoteReference"/>
          <w:rFonts w:cs="Arial"/>
          <w:lang w:val="en-GB"/>
        </w:rPr>
        <w:footnoteRef/>
      </w:r>
      <w:r w:rsidRPr="007A0CD3">
        <w:rPr>
          <w:lang w:val="en-GB"/>
        </w:rPr>
        <w:t xml:space="preserve"> </w:t>
      </w:r>
      <w:r w:rsidRPr="00DF6C67">
        <w:rPr>
          <w:lang w:val="en-GB"/>
        </w:rPr>
        <w:t xml:space="preserve">Award payments can be withheld if it becomes known that irregularities have been committed during the organisation of the </w:t>
      </w:r>
      <w:r>
        <w:rPr>
          <w:lang w:val="en-GB"/>
        </w:rPr>
        <w:t>ASI</w:t>
      </w:r>
      <w:r w:rsidRPr="00DF6C67">
        <w:rPr>
          <w:lang w:val="en-GB"/>
        </w:rPr>
        <w:t>.</w:t>
      </w:r>
    </w:p>
  </w:footnote>
  <w:footnote w:id="2">
    <w:p w:rsidR="003E719A" w:rsidRDefault="003E719A" w:rsidP="00BE68F3">
      <w:pPr>
        <w:pStyle w:val="FootnoteText"/>
      </w:pPr>
      <w:r w:rsidRPr="00ED3C77">
        <w:rPr>
          <w:rStyle w:val="FootnoteReference"/>
          <w:rFonts w:cs="Arial"/>
          <w:sz w:val="18"/>
          <w:szCs w:val="18"/>
          <w:lang w:val="en-GB"/>
        </w:rPr>
        <w:footnoteRef/>
      </w:r>
      <w:r w:rsidRPr="00ED3C77">
        <w:rPr>
          <w:sz w:val="18"/>
          <w:szCs w:val="18"/>
          <w:lang w:val="en-GB"/>
        </w:rPr>
        <w:t xml:space="preserve"> Turkey recognises the Republic of Macedonia with its constitutional name.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19A" w:rsidRDefault="003E719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19A" w:rsidRDefault="003E719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19A" w:rsidRDefault="003E719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AF7C0E"/>
    <w:multiLevelType w:val="hybridMultilevel"/>
    <w:tmpl w:val="44E0C396"/>
    <w:lvl w:ilvl="0" w:tplc="C034FF34">
      <w:start w:val="1"/>
      <w:numFmt w:val="bulle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1B261E1"/>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54AB5B48"/>
    <w:multiLevelType w:val="hybridMultilevel"/>
    <w:tmpl w:val="0EE842FE"/>
    <w:lvl w:ilvl="0" w:tplc="5DD2D3A8">
      <w:start w:val="1"/>
      <w:numFmt w:val="bullet"/>
      <w:pStyle w:val="BulletLis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73280DA3"/>
    <w:multiLevelType w:val="hybridMultilevel"/>
    <w:tmpl w:val="D5884DB2"/>
    <w:lvl w:ilvl="0" w:tplc="BC6AAE7E">
      <w:start w:val="1"/>
      <w:numFmt w:val="decimal"/>
      <w:lvlText w:val="Annex %1: "/>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1"/>
  </w:num>
  <w:num w:numId="3">
    <w:abstractNumId w:val="3"/>
  </w:num>
  <w:num w:numId="4">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embedSystemFonts/>
  <w:stylePaneFormatFilter w:val="30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footnotePr>
    <w:numFmt w:val="chicago"/>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IPSpeechSession$" w:val="FALSE"/>
    <w:docVar w:name="IPSpeechSessionSaved$" w:val="FALSE"/>
  </w:docVars>
  <w:rsids>
    <w:rsidRoot w:val="0065281B"/>
    <w:rsid w:val="000008F8"/>
    <w:rsid w:val="000023DD"/>
    <w:rsid w:val="00003ED3"/>
    <w:rsid w:val="00007056"/>
    <w:rsid w:val="000076EE"/>
    <w:rsid w:val="000120B1"/>
    <w:rsid w:val="00013244"/>
    <w:rsid w:val="000170E1"/>
    <w:rsid w:val="0002231D"/>
    <w:rsid w:val="0002314E"/>
    <w:rsid w:val="00031147"/>
    <w:rsid w:val="00031E75"/>
    <w:rsid w:val="000327F1"/>
    <w:rsid w:val="00036812"/>
    <w:rsid w:val="00036889"/>
    <w:rsid w:val="00041523"/>
    <w:rsid w:val="000418B7"/>
    <w:rsid w:val="000448C7"/>
    <w:rsid w:val="00045553"/>
    <w:rsid w:val="00052032"/>
    <w:rsid w:val="000543E5"/>
    <w:rsid w:val="00060580"/>
    <w:rsid w:val="00060677"/>
    <w:rsid w:val="00061753"/>
    <w:rsid w:val="00062DD1"/>
    <w:rsid w:val="00065BE8"/>
    <w:rsid w:val="000662ED"/>
    <w:rsid w:val="000671E9"/>
    <w:rsid w:val="00067D35"/>
    <w:rsid w:val="00077616"/>
    <w:rsid w:val="00077890"/>
    <w:rsid w:val="00080477"/>
    <w:rsid w:val="00084F7E"/>
    <w:rsid w:val="00087C24"/>
    <w:rsid w:val="00090D7A"/>
    <w:rsid w:val="00091ACD"/>
    <w:rsid w:val="00093749"/>
    <w:rsid w:val="000956E6"/>
    <w:rsid w:val="00096E7A"/>
    <w:rsid w:val="000A0337"/>
    <w:rsid w:val="000A1936"/>
    <w:rsid w:val="000A1E6E"/>
    <w:rsid w:val="000A557F"/>
    <w:rsid w:val="000A5DB2"/>
    <w:rsid w:val="000A765D"/>
    <w:rsid w:val="000B2CA0"/>
    <w:rsid w:val="000B44B4"/>
    <w:rsid w:val="000B4C9C"/>
    <w:rsid w:val="000C359A"/>
    <w:rsid w:val="000C4859"/>
    <w:rsid w:val="000C5B37"/>
    <w:rsid w:val="000C6317"/>
    <w:rsid w:val="000C637F"/>
    <w:rsid w:val="000C6EB4"/>
    <w:rsid w:val="000C7C72"/>
    <w:rsid w:val="000D422D"/>
    <w:rsid w:val="000E384C"/>
    <w:rsid w:val="000F1785"/>
    <w:rsid w:val="000F3B50"/>
    <w:rsid w:val="000F45D8"/>
    <w:rsid w:val="000F5B5E"/>
    <w:rsid w:val="0010028C"/>
    <w:rsid w:val="0010054E"/>
    <w:rsid w:val="00100BF0"/>
    <w:rsid w:val="001040AD"/>
    <w:rsid w:val="00105E46"/>
    <w:rsid w:val="0010667A"/>
    <w:rsid w:val="001131B2"/>
    <w:rsid w:val="00114082"/>
    <w:rsid w:val="00115F96"/>
    <w:rsid w:val="0011710D"/>
    <w:rsid w:val="001211BF"/>
    <w:rsid w:val="0012171D"/>
    <w:rsid w:val="001256C6"/>
    <w:rsid w:val="001260B4"/>
    <w:rsid w:val="00130154"/>
    <w:rsid w:val="0013699F"/>
    <w:rsid w:val="00141BBE"/>
    <w:rsid w:val="001478FE"/>
    <w:rsid w:val="00147958"/>
    <w:rsid w:val="00151315"/>
    <w:rsid w:val="00154819"/>
    <w:rsid w:val="0016384F"/>
    <w:rsid w:val="00171CC4"/>
    <w:rsid w:val="00175599"/>
    <w:rsid w:val="00187EDF"/>
    <w:rsid w:val="00190529"/>
    <w:rsid w:val="001A4B39"/>
    <w:rsid w:val="001B00A9"/>
    <w:rsid w:val="001B0AE2"/>
    <w:rsid w:val="001C681B"/>
    <w:rsid w:val="001D053B"/>
    <w:rsid w:val="001D204F"/>
    <w:rsid w:val="001D218C"/>
    <w:rsid w:val="001D3D23"/>
    <w:rsid w:val="001D5493"/>
    <w:rsid w:val="001D7800"/>
    <w:rsid w:val="001E2F7F"/>
    <w:rsid w:val="001E6C71"/>
    <w:rsid w:val="002029C4"/>
    <w:rsid w:val="00206333"/>
    <w:rsid w:val="002107CB"/>
    <w:rsid w:val="00210EF9"/>
    <w:rsid w:val="002120D9"/>
    <w:rsid w:val="00213852"/>
    <w:rsid w:val="00215D1D"/>
    <w:rsid w:val="002166F2"/>
    <w:rsid w:val="00227AC0"/>
    <w:rsid w:val="0023155D"/>
    <w:rsid w:val="0023427D"/>
    <w:rsid w:val="00234914"/>
    <w:rsid w:val="002419A8"/>
    <w:rsid w:val="00243326"/>
    <w:rsid w:val="00247CD3"/>
    <w:rsid w:val="002535BF"/>
    <w:rsid w:val="00256EB8"/>
    <w:rsid w:val="002635D6"/>
    <w:rsid w:val="00264875"/>
    <w:rsid w:val="0026574B"/>
    <w:rsid w:val="00266DE9"/>
    <w:rsid w:val="00270D8F"/>
    <w:rsid w:val="00273D61"/>
    <w:rsid w:val="0027635A"/>
    <w:rsid w:val="002812DC"/>
    <w:rsid w:val="0028200D"/>
    <w:rsid w:val="002824F3"/>
    <w:rsid w:val="00283117"/>
    <w:rsid w:val="00291CDE"/>
    <w:rsid w:val="00294FCC"/>
    <w:rsid w:val="00297CE7"/>
    <w:rsid w:val="00297D4D"/>
    <w:rsid w:val="002A2622"/>
    <w:rsid w:val="002A3904"/>
    <w:rsid w:val="002A5A97"/>
    <w:rsid w:val="002B0084"/>
    <w:rsid w:val="002B102C"/>
    <w:rsid w:val="002B10AD"/>
    <w:rsid w:val="002B208F"/>
    <w:rsid w:val="002B75F1"/>
    <w:rsid w:val="002C4BD1"/>
    <w:rsid w:val="002C634C"/>
    <w:rsid w:val="002D09D8"/>
    <w:rsid w:val="002D1DCD"/>
    <w:rsid w:val="002E10B0"/>
    <w:rsid w:val="002E2841"/>
    <w:rsid w:val="002E3DF2"/>
    <w:rsid w:val="002F5B07"/>
    <w:rsid w:val="003002B1"/>
    <w:rsid w:val="00301EE3"/>
    <w:rsid w:val="00305016"/>
    <w:rsid w:val="00306E1A"/>
    <w:rsid w:val="00311667"/>
    <w:rsid w:val="00321B29"/>
    <w:rsid w:val="00323B8A"/>
    <w:rsid w:val="00323F29"/>
    <w:rsid w:val="00327597"/>
    <w:rsid w:val="003279BB"/>
    <w:rsid w:val="00330458"/>
    <w:rsid w:val="0033182F"/>
    <w:rsid w:val="003370FE"/>
    <w:rsid w:val="00340AA9"/>
    <w:rsid w:val="00341BD2"/>
    <w:rsid w:val="00355477"/>
    <w:rsid w:val="003572EA"/>
    <w:rsid w:val="00360ABC"/>
    <w:rsid w:val="00360DAA"/>
    <w:rsid w:val="003628F6"/>
    <w:rsid w:val="0037305A"/>
    <w:rsid w:val="003752DD"/>
    <w:rsid w:val="00375D16"/>
    <w:rsid w:val="00381F72"/>
    <w:rsid w:val="003825E2"/>
    <w:rsid w:val="00382A44"/>
    <w:rsid w:val="0038437E"/>
    <w:rsid w:val="00387C72"/>
    <w:rsid w:val="00387DE2"/>
    <w:rsid w:val="00387FC6"/>
    <w:rsid w:val="00387FF4"/>
    <w:rsid w:val="00390D35"/>
    <w:rsid w:val="0039404D"/>
    <w:rsid w:val="003940A5"/>
    <w:rsid w:val="00397C4C"/>
    <w:rsid w:val="003A4D2C"/>
    <w:rsid w:val="003A4DB9"/>
    <w:rsid w:val="003A5C42"/>
    <w:rsid w:val="003B058A"/>
    <w:rsid w:val="003B3733"/>
    <w:rsid w:val="003B7AF5"/>
    <w:rsid w:val="003C2685"/>
    <w:rsid w:val="003D033D"/>
    <w:rsid w:val="003D1ACC"/>
    <w:rsid w:val="003D32FC"/>
    <w:rsid w:val="003D6940"/>
    <w:rsid w:val="003D74F6"/>
    <w:rsid w:val="003E43EB"/>
    <w:rsid w:val="003E691C"/>
    <w:rsid w:val="003E719A"/>
    <w:rsid w:val="00400469"/>
    <w:rsid w:val="00402B9D"/>
    <w:rsid w:val="0040346C"/>
    <w:rsid w:val="00404303"/>
    <w:rsid w:val="004050ED"/>
    <w:rsid w:val="00413A8A"/>
    <w:rsid w:val="004247B0"/>
    <w:rsid w:val="00425834"/>
    <w:rsid w:val="00425C84"/>
    <w:rsid w:val="004267B4"/>
    <w:rsid w:val="00430320"/>
    <w:rsid w:val="004319DE"/>
    <w:rsid w:val="00436E03"/>
    <w:rsid w:val="00437F88"/>
    <w:rsid w:val="00441C90"/>
    <w:rsid w:val="00441D6D"/>
    <w:rsid w:val="00442CF6"/>
    <w:rsid w:val="0044719A"/>
    <w:rsid w:val="004540B7"/>
    <w:rsid w:val="0045471F"/>
    <w:rsid w:val="00457F79"/>
    <w:rsid w:val="0046147E"/>
    <w:rsid w:val="004719C1"/>
    <w:rsid w:val="00481982"/>
    <w:rsid w:val="00481DCA"/>
    <w:rsid w:val="004827CC"/>
    <w:rsid w:val="0048296E"/>
    <w:rsid w:val="0049025F"/>
    <w:rsid w:val="00490E0F"/>
    <w:rsid w:val="004A1E84"/>
    <w:rsid w:val="004B4EE4"/>
    <w:rsid w:val="004B675C"/>
    <w:rsid w:val="004C0734"/>
    <w:rsid w:val="004C1B1C"/>
    <w:rsid w:val="004C3106"/>
    <w:rsid w:val="004C33A0"/>
    <w:rsid w:val="004C352A"/>
    <w:rsid w:val="004C7B6D"/>
    <w:rsid w:val="004D2246"/>
    <w:rsid w:val="004E3850"/>
    <w:rsid w:val="004E4E50"/>
    <w:rsid w:val="004E5520"/>
    <w:rsid w:val="004F5173"/>
    <w:rsid w:val="004F52AC"/>
    <w:rsid w:val="004F5C10"/>
    <w:rsid w:val="00500397"/>
    <w:rsid w:val="00500649"/>
    <w:rsid w:val="005115F2"/>
    <w:rsid w:val="005126FA"/>
    <w:rsid w:val="005127C6"/>
    <w:rsid w:val="00516A21"/>
    <w:rsid w:val="005172D3"/>
    <w:rsid w:val="00523CBA"/>
    <w:rsid w:val="0052481E"/>
    <w:rsid w:val="00532532"/>
    <w:rsid w:val="0053752C"/>
    <w:rsid w:val="00540EC3"/>
    <w:rsid w:val="00542DCB"/>
    <w:rsid w:val="005446CC"/>
    <w:rsid w:val="00552F7D"/>
    <w:rsid w:val="00553473"/>
    <w:rsid w:val="00554496"/>
    <w:rsid w:val="00554C09"/>
    <w:rsid w:val="00562458"/>
    <w:rsid w:val="005639E6"/>
    <w:rsid w:val="005646DA"/>
    <w:rsid w:val="00571145"/>
    <w:rsid w:val="005729AA"/>
    <w:rsid w:val="00575D2D"/>
    <w:rsid w:val="00580F05"/>
    <w:rsid w:val="005811BB"/>
    <w:rsid w:val="005815AA"/>
    <w:rsid w:val="005822AE"/>
    <w:rsid w:val="0058543C"/>
    <w:rsid w:val="00591B51"/>
    <w:rsid w:val="00592271"/>
    <w:rsid w:val="00593E0C"/>
    <w:rsid w:val="00595B3F"/>
    <w:rsid w:val="0059683F"/>
    <w:rsid w:val="005B0F23"/>
    <w:rsid w:val="005B1C26"/>
    <w:rsid w:val="005C0081"/>
    <w:rsid w:val="005C0B4D"/>
    <w:rsid w:val="005C3256"/>
    <w:rsid w:val="005C45A7"/>
    <w:rsid w:val="005C6712"/>
    <w:rsid w:val="005C67BA"/>
    <w:rsid w:val="005C748A"/>
    <w:rsid w:val="005D1680"/>
    <w:rsid w:val="005D6CC9"/>
    <w:rsid w:val="005D7886"/>
    <w:rsid w:val="005E13FC"/>
    <w:rsid w:val="005E166F"/>
    <w:rsid w:val="005E22D1"/>
    <w:rsid w:val="005E34F7"/>
    <w:rsid w:val="005E5EF6"/>
    <w:rsid w:val="0060017D"/>
    <w:rsid w:val="0060522A"/>
    <w:rsid w:val="00607F0A"/>
    <w:rsid w:val="006213BC"/>
    <w:rsid w:val="006306B4"/>
    <w:rsid w:val="00632C42"/>
    <w:rsid w:val="00640ADA"/>
    <w:rsid w:val="00643669"/>
    <w:rsid w:val="00644C2E"/>
    <w:rsid w:val="0065281B"/>
    <w:rsid w:val="00652D75"/>
    <w:rsid w:val="00653E28"/>
    <w:rsid w:val="00666BDE"/>
    <w:rsid w:val="006740E2"/>
    <w:rsid w:val="00677FAD"/>
    <w:rsid w:val="00683278"/>
    <w:rsid w:val="006B1CB2"/>
    <w:rsid w:val="006B4EDE"/>
    <w:rsid w:val="006B6311"/>
    <w:rsid w:val="006B6F49"/>
    <w:rsid w:val="006C024D"/>
    <w:rsid w:val="006C060B"/>
    <w:rsid w:val="006C0A92"/>
    <w:rsid w:val="006D78EB"/>
    <w:rsid w:val="006E3ED4"/>
    <w:rsid w:val="006F4E69"/>
    <w:rsid w:val="006F52EE"/>
    <w:rsid w:val="006F6B6C"/>
    <w:rsid w:val="006F7A9C"/>
    <w:rsid w:val="0070062D"/>
    <w:rsid w:val="0071240C"/>
    <w:rsid w:val="00720D5F"/>
    <w:rsid w:val="00722260"/>
    <w:rsid w:val="007249F1"/>
    <w:rsid w:val="00724B10"/>
    <w:rsid w:val="00735B61"/>
    <w:rsid w:val="00737A29"/>
    <w:rsid w:val="00743A2C"/>
    <w:rsid w:val="00744D77"/>
    <w:rsid w:val="00750B0B"/>
    <w:rsid w:val="00751084"/>
    <w:rsid w:val="00751F7E"/>
    <w:rsid w:val="00756002"/>
    <w:rsid w:val="00773324"/>
    <w:rsid w:val="00775813"/>
    <w:rsid w:val="007768E9"/>
    <w:rsid w:val="0077721E"/>
    <w:rsid w:val="00787956"/>
    <w:rsid w:val="00793F0F"/>
    <w:rsid w:val="007946EC"/>
    <w:rsid w:val="007A0CD3"/>
    <w:rsid w:val="007A2BFC"/>
    <w:rsid w:val="007B1E5B"/>
    <w:rsid w:val="007B3917"/>
    <w:rsid w:val="007B3C6F"/>
    <w:rsid w:val="007B6156"/>
    <w:rsid w:val="007B6D76"/>
    <w:rsid w:val="007B6E23"/>
    <w:rsid w:val="007C158A"/>
    <w:rsid w:val="007C1A1E"/>
    <w:rsid w:val="007C1BE9"/>
    <w:rsid w:val="007C3149"/>
    <w:rsid w:val="007C4503"/>
    <w:rsid w:val="007C4DA2"/>
    <w:rsid w:val="007C5157"/>
    <w:rsid w:val="007C56CF"/>
    <w:rsid w:val="007C5F59"/>
    <w:rsid w:val="007C6720"/>
    <w:rsid w:val="007C6AEB"/>
    <w:rsid w:val="007D4D00"/>
    <w:rsid w:val="007D6EEC"/>
    <w:rsid w:val="007D7F98"/>
    <w:rsid w:val="007E4B8F"/>
    <w:rsid w:val="007E5AD4"/>
    <w:rsid w:val="007E5B86"/>
    <w:rsid w:val="007F10F0"/>
    <w:rsid w:val="007F1C5A"/>
    <w:rsid w:val="007F2689"/>
    <w:rsid w:val="007F3DE8"/>
    <w:rsid w:val="007F4776"/>
    <w:rsid w:val="007F718B"/>
    <w:rsid w:val="00801968"/>
    <w:rsid w:val="00803E52"/>
    <w:rsid w:val="008058EF"/>
    <w:rsid w:val="008061C4"/>
    <w:rsid w:val="008127E0"/>
    <w:rsid w:val="008169B1"/>
    <w:rsid w:val="00820480"/>
    <w:rsid w:val="008207C6"/>
    <w:rsid w:val="008273C9"/>
    <w:rsid w:val="00827F1D"/>
    <w:rsid w:val="008340FD"/>
    <w:rsid w:val="00843EAD"/>
    <w:rsid w:val="00855958"/>
    <w:rsid w:val="00860881"/>
    <w:rsid w:val="008631D5"/>
    <w:rsid w:val="00864B2F"/>
    <w:rsid w:val="00867361"/>
    <w:rsid w:val="00867511"/>
    <w:rsid w:val="00870339"/>
    <w:rsid w:val="008734B0"/>
    <w:rsid w:val="00880A25"/>
    <w:rsid w:val="0088327D"/>
    <w:rsid w:val="00886FDD"/>
    <w:rsid w:val="0089453F"/>
    <w:rsid w:val="008A0E43"/>
    <w:rsid w:val="008A2F07"/>
    <w:rsid w:val="008B055C"/>
    <w:rsid w:val="008B3747"/>
    <w:rsid w:val="008C60D0"/>
    <w:rsid w:val="008C79C4"/>
    <w:rsid w:val="008D00DC"/>
    <w:rsid w:val="008D7A91"/>
    <w:rsid w:val="008E32AD"/>
    <w:rsid w:val="008E4F99"/>
    <w:rsid w:val="008E68BA"/>
    <w:rsid w:val="008F1098"/>
    <w:rsid w:val="008F3E6E"/>
    <w:rsid w:val="008F4D73"/>
    <w:rsid w:val="0090066A"/>
    <w:rsid w:val="00900CE3"/>
    <w:rsid w:val="0091218E"/>
    <w:rsid w:val="00912A20"/>
    <w:rsid w:val="0091651F"/>
    <w:rsid w:val="0091778E"/>
    <w:rsid w:val="00917B9E"/>
    <w:rsid w:val="00922727"/>
    <w:rsid w:val="00923FC5"/>
    <w:rsid w:val="00926D68"/>
    <w:rsid w:val="00935C7E"/>
    <w:rsid w:val="009424BE"/>
    <w:rsid w:val="009457D2"/>
    <w:rsid w:val="009472A1"/>
    <w:rsid w:val="0095081D"/>
    <w:rsid w:val="00952AEA"/>
    <w:rsid w:val="00952B70"/>
    <w:rsid w:val="0095391D"/>
    <w:rsid w:val="009543F7"/>
    <w:rsid w:val="0095527D"/>
    <w:rsid w:val="00955FFF"/>
    <w:rsid w:val="0095713F"/>
    <w:rsid w:val="00960957"/>
    <w:rsid w:val="0096125D"/>
    <w:rsid w:val="00961348"/>
    <w:rsid w:val="00963B53"/>
    <w:rsid w:val="009650CB"/>
    <w:rsid w:val="0096560F"/>
    <w:rsid w:val="00966470"/>
    <w:rsid w:val="00971760"/>
    <w:rsid w:val="0097281F"/>
    <w:rsid w:val="00981372"/>
    <w:rsid w:val="00990401"/>
    <w:rsid w:val="0099067B"/>
    <w:rsid w:val="00990FFB"/>
    <w:rsid w:val="00992DE7"/>
    <w:rsid w:val="00993D26"/>
    <w:rsid w:val="00994BB9"/>
    <w:rsid w:val="009A121B"/>
    <w:rsid w:val="009A2BCD"/>
    <w:rsid w:val="009A44F1"/>
    <w:rsid w:val="009A6AB7"/>
    <w:rsid w:val="009B24CD"/>
    <w:rsid w:val="009C16F2"/>
    <w:rsid w:val="009C74EC"/>
    <w:rsid w:val="009D25EC"/>
    <w:rsid w:val="009D28E6"/>
    <w:rsid w:val="009E0AC3"/>
    <w:rsid w:val="009E0E0F"/>
    <w:rsid w:val="009F0267"/>
    <w:rsid w:val="009F26D1"/>
    <w:rsid w:val="009F4CB1"/>
    <w:rsid w:val="00A02B1C"/>
    <w:rsid w:val="00A03C68"/>
    <w:rsid w:val="00A0427C"/>
    <w:rsid w:val="00A04672"/>
    <w:rsid w:val="00A07EE6"/>
    <w:rsid w:val="00A1152D"/>
    <w:rsid w:val="00A14652"/>
    <w:rsid w:val="00A203DD"/>
    <w:rsid w:val="00A21B3E"/>
    <w:rsid w:val="00A3433F"/>
    <w:rsid w:val="00A43BF4"/>
    <w:rsid w:val="00A50303"/>
    <w:rsid w:val="00A57F24"/>
    <w:rsid w:val="00A60A77"/>
    <w:rsid w:val="00A621E7"/>
    <w:rsid w:val="00A64438"/>
    <w:rsid w:val="00A662C2"/>
    <w:rsid w:val="00A67D78"/>
    <w:rsid w:val="00A72562"/>
    <w:rsid w:val="00A727DC"/>
    <w:rsid w:val="00A73A8B"/>
    <w:rsid w:val="00A77FF9"/>
    <w:rsid w:val="00A81CB9"/>
    <w:rsid w:val="00A906FC"/>
    <w:rsid w:val="00A93EBD"/>
    <w:rsid w:val="00AA69DB"/>
    <w:rsid w:val="00AB493B"/>
    <w:rsid w:val="00AC13E2"/>
    <w:rsid w:val="00AC5B14"/>
    <w:rsid w:val="00AD3C4C"/>
    <w:rsid w:val="00AD54EC"/>
    <w:rsid w:val="00AD5EB4"/>
    <w:rsid w:val="00AE02AA"/>
    <w:rsid w:val="00AE4689"/>
    <w:rsid w:val="00AF3F0C"/>
    <w:rsid w:val="00AF7AC5"/>
    <w:rsid w:val="00B03E7B"/>
    <w:rsid w:val="00B0478E"/>
    <w:rsid w:val="00B207AA"/>
    <w:rsid w:val="00B2383D"/>
    <w:rsid w:val="00B23907"/>
    <w:rsid w:val="00B31408"/>
    <w:rsid w:val="00B42762"/>
    <w:rsid w:val="00B4739D"/>
    <w:rsid w:val="00B520BB"/>
    <w:rsid w:val="00B579FC"/>
    <w:rsid w:val="00B60D1B"/>
    <w:rsid w:val="00B62169"/>
    <w:rsid w:val="00B635A5"/>
    <w:rsid w:val="00B64F3D"/>
    <w:rsid w:val="00B66AD7"/>
    <w:rsid w:val="00B71942"/>
    <w:rsid w:val="00B7351B"/>
    <w:rsid w:val="00B76950"/>
    <w:rsid w:val="00B76EF4"/>
    <w:rsid w:val="00B82A05"/>
    <w:rsid w:val="00B82B27"/>
    <w:rsid w:val="00B93E33"/>
    <w:rsid w:val="00B96F7D"/>
    <w:rsid w:val="00BA349A"/>
    <w:rsid w:val="00BB29D2"/>
    <w:rsid w:val="00BC1AA8"/>
    <w:rsid w:val="00BC473F"/>
    <w:rsid w:val="00BD2A50"/>
    <w:rsid w:val="00BD50F2"/>
    <w:rsid w:val="00BD6B46"/>
    <w:rsid w:val="00BE1FBA"/>
    <w:rsid w:val="00BE68F3"/>
    <w:rsid w:val="00BF3B65"/>
    <w:rsid w:val="00BF7DA6"/>
    <w:rsid w:val="00C030B7"/>
    <w:rsid w:val="00C03F27"/>
    <w:rsid w:val="00C04D82"/>
    <w:rsid w:val="00C112C4"/>
    <w:rsid w:val="00C120A6"/>
    <w:rsid w:val="00C12B75"/>
    <w:rsid w:val="00C17795"/>
    <w:rsid w:val="00C212BB"/>
    <w:rsid w:val="00C31A37"/>
    <w:rsid w:val="00C3366D"/>
    <w:rsid w:val="00C351F8"/>
    <w:rsid w:val="00C40B10"/>
    <w:rsid w:val="00C426F1"/>
    <w:rsid w:val="00C43095"/>
    <w:rsid w:val="00C450B3"/>
    <w:rsid w:val="00C524FF"/>
    <w:rsid w:val="00C52E27"/>
    <w:rsid w:val="00C53AD0"/>
    <w:rsid w:val="00C53D93"/>
    <w:rsid w:val="00C55180"/>
    <w:rsid w:val="00C55BFF"/>
    <w:rsid w:val="00C5797F"/>
    <w:rsid w:val="00C62DC1"/>
    <w:rsid w:val="00C6669E"/>
    <w:rsid w:val="00C72182"/>
    <w:rsid w:val="00C7592F"/>
    <w:rsid w:val="00C75DC1"/>
    <w:rsid w:val="00C76528"/>
    <w:rsid w:val="00C76AB7"/>
    <w:rsid w:val="00C77764"/>
    <w:rsid w:val="00C81BC7"/>
    <w:rsid w:val="00C836F6"/>
    <w:rsid w:val="00C84084"/>
    <w:rsid w:val="00C84748"/>
    <w:rsid w:val="00C86B70"/>
    <w:rsid w:val="00C901BA"/>
    <w:rsid w:val="00C93F59"/>
    <w:rsid w:val="00CC1700"/>
    <w:rsid w:val="00CC2EFB"/>
    <w:rsid w:val="00CC461F"/>
    <w:rsid w:val="00CD279B"/>
    <w:rsid w:val="00CD63EE"/>
    <w:rsid w:val="00CE6729"/>
    <w:rsid w:val="00CE6F4E"/>
    <w:rsid w:val="00CE6FD7"/>
    <w:rsid w:val="00CE72F9"/>
    <w:rsid w:val="00CE7F69"/>
    <w:rsid w:val="00CF49D0"/>
    <w:rsid w:val="00CF4EF7"/>
    <w:rsid w:val="00D03A65"/>
    <w:rsid w:val="00D0591B"/>
    <w:rsid w:val="00D076C9"/>
    <w:rsid w:val="00D13173"/>
    <w:rsid w:val="00D13409"/>
    <w:rsid w:val="00D26D7E"/>
    <w:rsid w:val="00D3172B"/>
    <w:rsid w:val="00D32D4B"/>
    <w:rsid w:val="00D36C57"/>
    <w:rsid w:val="00D37DF8"/>
    <w:rsid w:val="00D448E3"/>
    <w:rsid w:val="00D51E97"/>
    <w:rsid w:val="00D523ED"/>
    <w:rsid w:val="00D5334E"/>
    <w:rsid w:val="00D54B7E"/>
    <w:rsid w:val="00D5500D"/>
    <w:rsid w:val="00D57248"/>
    <w:rsid w:val="00D60CA6"/>
    <w:rsid w:val="00D6306C"/>
    <w:rsid w:val="00D6707F"/>
    <w:rsid w:val="00D73B12"/>
    <w:rsid w:val="00D85189"/>
    <w:rsid w:val="00D948DA"/>
    <w:rsid w:val="00D94D29"/>
    <w:rsid w:val="00D95EE7"/>
    <w:rsid w:val="00D975C1"/>
    <w:rsid w:val="00DA0952"/>
    <w:rsid w:val="00DA0C36"/>
    <w:rsid w:val="00DA357D"/>
    <w:rsid w:val="00DA3A10"/>
    <w:rsid w:val="00DA49E4"/>
    <w:rsid w:val="00DA50C4"/>
    <w:rsid w:val="00DA5712"/>
    <w:rsid w:val="00DA5EF8"/>
    <w:rsid w:val="00DA67C7"/>
    <w:rsid w:val="00DB585F"/>
    <w:rsid w:val="00DC3EF0"/>
    <w:rsid w:val="00DC4E6D"/>
    <w:rsid w:val="00DC5D5A"/>
    <w:rsid w:val="00DD1F12"/>
    <w:rsid w:val="00DD386F"/>
    <w:rsid w:val="00DD526E"/>
    <w:rsid w:val="00DD5886"/>
    <w:rsid w:val="00DE588D"/>
    <w:rsid w:val="00DE6DB7"/>
    <w:rsid w:val="00DE6E77"/>
    <w:rsid w:val="00DF0E87"/>
    <w:rsid w:val="00DF4183"/>
    <w:rsid w:val="00DF484C"/>
    <w:rsid w:val="00DF6C67"/>
    <w:rsid w:val="00E02579"/>
    <w:rsid w:val="00E028D0"/>
    <w:rsid w:val="00E055D9"/>
    <w:rsid w:val="00E10B1F"/>
    <w:rsid w:val="00E112E9"/>
    <w:rsid w:val="00E222EC"/>
    <w:rsid w:val="00E24F0B"/>
    <w:rsid w:val="00E33755"/>
    <w:rsid w:val="00E35B3D"/>
    <w:rsid w:val="00E43D5A"/>
    <w:rsid w:val="00E43F86"/>
    <w:rsid w:val="00E46080"/>
    <w:rsid w:val="00E473D0"/>
    <w:rsid w:val="00E47F91"/>
    <w:rsid w:val="00E5072C"/>
    <w:rsid w:val="00E52976"/>
    <w:rsid w:val="00E56CC7"/>
    <w:rsid w:val="00E5774B"/>
    <w:rsid w:val="00E61B94"/>
    <w:rsid w:val="00E66428"/>
    <w:rsid w:val="00E66827"/>
    <w:rsid w:val="00E669FD"/>
    <w:rsid w:val="00E743FE"/>
    <w:rsid w:val="00E845C4"/>
    <w:rsid w:val="00E8685D"/>
    <w:rsid w:val="00E90118"/>
    <w:rsid w:val="00E9115D"/>
    <w:rsid w:val="00E94653"/>
    <w:rsid w:val="00E94D86"/>
    <w:rsid w:val="00EA0D0F"/>
    <w:rsid w:val="00EA2F8D"/>
    <w:rsid w:val="00EA378E"/>
    <w:rsid w:val="00EC400B"/>
    <w:rsid w:val="00EC4F71"/>
    <w:rsid w:val="00ED00F7"/>
    <w:rsid w:val="00ED0E4F"/>
    <w:rsid w:val="00ED2D91"/>
    <w:rsid w:val="00ED3C77"/>
    <w:rsid w:val="00ED7086"/>
    <w:rsid w:val="00EF2966"/>
    <w:rsid w:val="00EF50D7"/>
    <w:rsid w:val="00EF57EA"/>
    <w:rsid w:val="00EF73C0"/>
    <w:rsid w:val="00F0070A"/>
    <w:rsid w:val="00F02141"/>
    <w:rsid w:val="00F0626E"/>
    <w:rsid w:val="00F07247"/>
    <w:rsid w:val="00F22AAB"/>
    <w:rsid w:val="00F24EE0"/>
    <w:rsid w:val="00F267BD"/>
    <w:rsid w:val="00F322B0"/>
    <w:rsid w:val="00F3273B"/>
    <w:rsid w:val="00F32C22"/>
    <w:rsid w:val="00F3516D"/>
    <w:rsid w:val="00F3542A"/>
    <w:rsid w:val="00F36CEE"/>
    <w:rsid w:val="00F37CC0"/>
    <w:rsid w:val="00F40B42"/>
    <w:rsid w:val="00F470AD"/>
    <w:rsid w:val="00F47A7B"/>
    <w:rsid w:val="00F55E83"/>
    <w:rsid w:val="00F56AD5"/>
    <w:rsid w:val="00F63D23"/>
    <w:rsid w:val="00F72BCE"/>
    <w:rsid w:val="00F73721"/>
    <w:rsid w:val="00F748ED"/>
    <w:rsid w:val="00F7576B"/>
    <w:rsid w:val="00F77BB9"/>
    <w:rsid w:val="00F823F2"/>
    <w:rsid w:val="00F84CD1"/>
    <w:rsid w:val="00F91ADD"/>
    <w:rsid w:val="00F91B28"/>
    <w:rsid w:val="00FA303C"/>
    <w:rsid w:val="00FA387C"/>
    <w:rsid w:val="00FA41BB"/>
    <w:rsid w:val="00FB0371"/>
    <w:rsid w:val="00FC0488"/>
    <w:rsid w:val="00FC065A"/>
    <w:rsid w:val="00FC307A"/>
    <w:rsid w:val="00FC62BE"/>
    <w:rsid w:val="00FD691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ACD"/>
    <w:rPr>
      <w:sz w:val="18"/>
      <w:szCs w:val="20"/>
      <w:lang w:val="en-GB"/>
    </w:rPr>
  </w:style>
  <w:style w:type="paragraph" w:styleId="Heading1">
    <w:name w:val="heading 1"/>
    <w:basedOn w:val="BoxTitle"/>
    <w:next w:val="Normal"/>
    <w:link w:val="Heading1Char"/>
    <w:uiPriority w:val="99"/>
    <w:qFormat/>
    <w:rsid w:val="007E4B8F"/>
    <w:pPr>
      <w:keepNext/>
      <w:tabs>
        <w:tab w:val="clear" w:pos="10132"/>
        <w:tab w:val="right" w:pos="10348"/>
      </w:tabs>
      <w:spacing w:before="240" w:after="120"/>
      <w:outlineLvl w:val="0"/>
    </w:pPr>
    <w:rPr>
      <w:bCs/>
      <w:color w:val="00408B"/>
      <w:sz w:val="24"/>
      <w:szCs w:val="24"/>
    </w:rPr>
  </w:style>
  <w:style w:type="paragraph" w:styleId="Heading2">
    <w:name w:val="heading 2"/>
    <w:basedOn w:val="Normal"/>
    <w:next w:val="Normal"/>
    <w:link w:val="Heading2Char"/>
    <w:uiPriority w:val="99"/>
    <w:qFormat/>
    <w:rsid w:val="00952B70"/>
    <w:pPr>
      <w:keepNext/>
      <w:tabs>
        <w:tab w:val="left" w:pos="993"/>
      </w:tabs>
      <w:jc w:val="both"/>
      <w:outlineLvl w:val="1"/>
    </w:pPr>
    <w:rPr>
      <w:rFonts w:ascii="Arial" w:hAnsi="Arial" w:cs="Arial"/>
      <w:b/>
      <w:bCs/>
      <w:sz w:val="20"/>
    </w:rPr>
  </w:style>
  <w:style w:type="paragraph" w:styleId="Heading3">
    <w:name w:val="heading 3"/>
    <w:basedOn w:val="Normal"/>
    <w:next w:val="Normal"/>
    <w:link w:val="Heading3Char"/>
    <w:uiPriority w:val="99"/>
    <w:qFormat/>
    <w:rsid w:val="000956E6"/>
    <w:pPr>
      <w:keepNext/>
      <w:tabs>
        <w:tab w:val="left" w:pos="993"/>
      </w:tabs>
      <w:ind w:firstLine="720"/>
      <w:jc w:val="both"/>
      <w:outlineLvl w:val="2"/>
    </w:pPr>
    <w:rPr>
      <w:b/>
      <w:bCs/>
      <w:sz w:val="24"/>
      <w:szCs w:val="24"/>
    </w:rPr>
  </w:style>
  <w:style w:type="paragraph" w:styleId="Heading4">
    <w:name w:val="heading 4"/>
    <w:basedOn w:val="Normal"/>
    <w:next w:val="Normal"/>
    <w:link w:val="Heading4Char"/>
    <w:uiPriority w:val="99"/>
    <w:qFormat/>
    <w:rsid w:val="000956E6"/>
    <w:pPr>
      <w:keepNext/>
      <w:tabs>
        <w:tab w:val="center" w:pos="567"/>
      </w:tabs>
      <w:ind w:right="-1080"/>
      <w:outlineLvl w:val="3"/>
    </w:pPr>
    <w:rPr>
      <w:b/>
      <w:bCs/>
    </w:rPr>
  </w:style>
  <w:style w:type="paragraph" w:styleId="Heading5">
    <w:name w:val="heading 5"/>
    <w:basedOn w:val="Normal"/>
    <w:next w:val="Normal"/>
    <w:link w:val="Heading5Char"/>
    <w:uiPriority w:val="99"/>
    <w:qFormat/>
    <w:rsid w:val="000956E6"/>
    <w:pPr>
      <w:keepNext/>
      <w:outlineLvl w:val="4"/>
    </w:pPr>
    <w:rPr>
      <w:i/>
      <w:iCs/>
      <w:szCs w:val="18"/>
      <w:lang w:val="en-US"/>
    </w:rPr>
  </w:style>
  <w:style w:type="paragraph" w:styleId="Heading6">
    <w:name w:val="heading 6"/>
    <w:basedOn w:val="Normal"/>
    <w:next w:val="Normal"/>
    <w:link w:val="Heading6Char"/>
    <w:uiPriority w:val="99"/>
    <w:qFormat/>
    <w:rsid w:val="000956E6"/>
    <w:pPr>
      <w:keepNext/>
      <w:jc w:val="center"/>
      <w:outlineLvl w:val="5"/>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4B8F"/>
    <w:rPr>
      <w:rFonts w:ascii="Arial" w:hAnsi="Arial" w:cs="Arial"/>
      <w:b/>
      <w:bCs/>
      <w:color w:val="00408B"/>
      <w:sz w:val="24"/>
      <w:szCs w:val="24"/>
      <w:lang w:val="en-GB" w:eastAsia="en-US" w:bidi="ar-SA"/>
    </w:rPr>
  </w:style>
  <w:style w:type="character" w:customStyle="1" w:styleId="Heading2Char">
    <w:name w:val="Heading 2 Char"/>
    <w:basedOn w:val="DefaultParagraphFont"/>
    <w:link w:val="Heading2"/>
    <w:uiPriority w:val="99"/>
    <w:semiHidden/>
    <w:locked/>
    <w:rsid w:val="00952B70"/>
    <w:rPr>
      <w:rFonts w:ascii="Arial" w:hAnsi="Arial" w:cs="Arial"/>
      <w:b/>
      <w:bCs/>
      <w:lang w:val="en-GB" w:eastAsia="en-US" w:bidi="ar-SA"/>
    </w:rPr>
  </w:style>
  <w:style w:type="character" w:customStyle="1" w:styleId="Heading3Char">
    <w:name w:val="Heading 3 Char"/>
    <w:basedOn w:val="DefaultParagraphFont"/>
    <w:link w:val="Heading3"/>
    <w:uiPriority w:val="99"/>
    <w:semiHidden/>
    <w:locked/>
    <w:rsid w:val="00FC62BE"/>
    <w:rPr>
      <w:rFonts w:ascii="Cambria" w:hAnsi="Cambria" w:cs="Cambria"/>
      <w:b/>
      <w:bCs/>
      <w:sz w:val="26"/>
      <w:szCs w:val="26"/>
      <w:lang w:val="en-GB"/>
    </w:rPr>
  </w:style>
  <w:style w:type="character" w:customStyle="1" w:styleId="Heading4Char">
    <w:name w:val="Heading 4 Char"/>
    <w:basedOn w:val="DefaultParagraphFont"/>
    <w:link w:val="Heading4"/>
    <w:uiPriority w:val="99"/>
    <w:semiHidden/>
    <w:locked/>
    <w:rsid w:val="00FC62BE"/>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FC62BE"/>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FC62BE"/>
    <w:rPr>
      <w:rFonts w:ascii="Calibri" w:hAnsi="Calibri" w:cs="Calibri"/>
      <w:b/>
      <w:bCs/>
      <w:sz w:val="22"/>
      <w:szCs w:val="22"/>
      <w:lang w:val="en-GB"/>
    </w:rPr>
  </w:style>
  <w:style w:type="character" w:styleId="Hyperlink">
    <w:name w:val="Hyperlink"/>
    <w:basedOn w:val="DefaultParagraphFont"/>
    <w:uiPriority w:val="99"/>
    <w:rsid w:val="00490E0F"/>
    <w:rPr>
      <w:rFonts w:cs="Times New Roman"/>
      <w:color w:val="0000FF"/>
      <w:u w:val="none"/>
    </w:rPr>
  </w:style>
  <w:style w:type="paragraph" w:styleId="Footer">
    <w:name w:val="footer"/>
    <w:basedOn w:val="Normal"/>
    <w:link w:val="FooterChar"/>
    <w:uiPriority w:val="99"/>
    <w:rsid w:val="000956E6"/>
    <w:pPr>
      <w:tabs>
        <w:tab w:val="center" w:pos="4320"/>
        <w:tab w:val="right" w:pos="8640"/>
      </w:tabs>
    </w:pPr>
  </w:style>
  <w:style w:type="character" w:customStyle="1" w:styleId="FooterChar">
    <w:name w:val="Footer Char"/>
    <w:basedOn w:val="DefaultParagraphFont"/>
    <w:link w:val="Footer"/>
    <w:uiPriority w:val="99"/>
    <w:semiHidden/>
    <w:locked/>
    <w:rsid w:val="00FC62BE"/>
    <w:rPr>
      <w:rFonts w:cs="Times New Roman"/>
      <w:lang w:val="en-GB"/>
    </w:rPr>
  </w:style>
  <w:style w:type="character" w:styleId="PageNumber">
    <w:name w:val="page number"/>
    <w:basedOn w:val="DefaultParagraphFont"/>
    <w:uiPriority w:val="99"/>
    <w:rsid w:val="00C84084"/>
    <w:rPr>
      <w:rFonts w:ascii="Arial" w:hAnsi="Arial" w:cs="Times New Roman"/>
      <w:sz w:val="18"/>
    </w:rPr>
  </w:style>
  <w:style w:type="paragraph" w:styleId="Header">
    <w:name w:val="header"/>
    <w:basedOn w:val="Normal"/>
    <w:link w:val="HeaderChar"/>
    <w:uiPriority w:val="99"/>
    <w:rsid w:val="000956E6"/>
    <w:pPr>
      <w:tabs>
        <w:tab w:val="center" w:pos="4320"/>
        <w:tab w:val="right" w:pos="8640"/>
      </w:tabs>
    </w:pPr>
  </w:style>
  <w:style w:type="character" w:customStyle="1" w:styleId="HeaderChar">
    <w:name w:val="Header Char"/>
    <w:basedOn w:val="DefaultParagraphFont"/>
    <w:link w:val="Header"/>
    <w:uiPriority w:val="99"/>
    <w:semiHidden/>
    <w:locked/>
    <w:rsid w:val="00FC62BE"/>
    <w:rPr>
      <w:rFonts w:cs="Times New Roman"/>
      <w:lang w:val="en-GB"/>
    </w:rPr>
  </w:style>
  <w:style w:type="paragraph" w:styleId="Title">
    <w:name w:val="Title"/>
    <w:basedOn w:val="Normal"/>
    <w:link w:val="TitleChar"/>
    <w:uiPriority w:val="99"/>
    <w:qFormat/>
    <w:rsid w:val="000956E6"/>
    <w:pPr>
      <w:jc w:val="center"/>
    </w:pPr>
    <w:rPr>
      <w:b/>
      <w:bCs/>
      <w:sz w:val="28"/>
      <w:szCs w:val="28"/>
    </w:rPr>
  </w:style>
  <w:style w:type="character" w:customStyle="1" w:styleId="TitleChar">
    <w:name w:val="Title Char"/>
    <w:basedOn w:val="DefaultParagraphFont"/>
    <w:link w:val="Title"/>
    <w:uiPriority w:val="99"/>
    <w:locked/>
    <w:rsid w:val="00FC62BE"/>
    <w:rPr>
      <w:rFonts w:ascii="Cambria" w:hAnsi="Cambria" w:cs="Cambria"/>
      <w:b/>
      <w:bCs/>
      <w:kern w:val="28"/>
      <w:sz w:val="32"/>
      <w:szCs w:val="32"/>
      <w:lang w:val="en-GB"/>
    </w:rPr>
  </w:style>
  <w:style w:type="paragraph" w:styleId="DocumentMap">
    <w:name w:val="Document Map"/>
    <w:basedOn w:val="Normal"/>
    <w:link w:val="DocumentMapChar"/>
    <w:uiPriority w:val="99"/>
    <w:semiHidden/>
    <w:rsid w:val="000956E6"/>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FC62BE"/>
    <w:rPr>
      <w:rFonts w:cs="Times New Roman"/>
      <w:sz w:val="2"/>
      <w:szCs w:val="2"/>
      <w:lang w:val="en-GB"/>
    </w:rPr>
  </w:style>
  <w:style w:type="paragraph" w:styleId="BalloonText">
    <w:name w:val="Balloon Text"/>
    <w:basedOn w:val="Normal"/>
    <w:link w:val="BalloonTextChar"/>
    <w:uiPriority w:val="99"/>
    <w:semiHidden/>
    <w:rsid w:val="00A1152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62BE"/>
    <w:rPr>
      <w:rFonts w:cs="Times New Roman"/>
      <w:sz w:val="2"/>
      <w:szCs w:val="2"/>
      <w:lang w:val="en-GB"/>
    </w:rPr>
  </w:style>
  <w:style w:type="table" w:styleId="TableGrid">
    <w:name w:val="Table Grid"/>
    <w:basedOn w:val="TableNormal"/>
    <w:uiPriority w:val="99"/>
    <w:rsid w:val="007F10F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4D2246"/>
    <w:rPr>
      <w:rFonts w:cs="Times New Roman"/>
      <w:color w:val="800080"/>
      <w:u w:val="single"/>
    </w:rPr>
  </w:style>
  <w:style w:type="character" w:customStyle="1" w:styleId="Instructions">
    <w:name w:val="Instructions"/>
    <w:uiPriority w:val="99"/>
    <w:rsid w:val="00DB585F"/>
    <w:rPr>
      <w:rFonts w:ascii="Times New Roman" w:hAnsi="Times New Roman"/>
      <w:i/>
      <w:color w:val="FF6969"/>
      <w:sz w:val="18"/>
    </w:rPr>
  </w:style>
  <w:style w:type="paragraph" w:customStyle="1" w:styleId="BoxTitle">
    <w:name w:val="BoxTitle"/>
    <w:basedOn w:val="Normal"/>
    <w:link w:val="BoxTitleChar"/>
    <w:uiPriority w:val="99"/>
    <w:rsid w:val="00CE6F4E"/>
    <w:pPr>
      <w:tabs>
        <w:tab w:val="right" w:pos="10132"/>
      </w:tabs>
    </w:pPr>
    <w:rPr>
      <w:rFonts w:ascii="Arial" w:hAnsi="Arial" w:cs="Arial"/>
      <w:b/>
      <w:color w:val="6DABD9"/>
      <w:szCs w:val="18"/>
    </w:rPr>
  </w:style>
  <w:style w:type="character" w:customStyle="1" w:styleId="BoxTitleChar">
    <w:name w:val="BoxTitle Char"/>
    <w:basedOn w:val="DefaultParagraphFont"/>
    <w:link w:val="BoxTitle"/>
    <w:uiPriority w:val="99"/>
    <w:locked/>
    <w:rsid w:val="00CE6F4E"/>
    <w:rPr>
      <w:rFonts w:ascii="Arial" w:hAnsi="Arial" w:cs="Arial"/>
      <w:b/>
      <w:color w:val="6DABD9"/>
      <w:sz w:val="18"/>
      <w:szCs w:val="18"/>
      <w:lang w:val="en-GB" w:eastAsia="en-US" w:bidi="ar-SA"/>
    </w:rPr>
  </w:style>
  <w:style w:type="paragraph" w:customStyle="1" w:styleId="Response">
    <w:name w:val="Response"/>
    <w:basedOn w:val="Normal"/>
    <w:uiPriority w:val="99"/>
    <w:rsid w:val="00CE6F4E"/>
    <w:rPr>
      <w:rFonts w:ascii="Arial" w:hAnsi="Arial"/>
      <w:b/>
      <w:sz w:val="22"/>
      <w:szCs w:val="22"/>
    </w:rPr>
  </w:style>
  <w:style w:type="paragraph" w:customStyle="1" w:styleId="SectionHead">
    <w:name w:val="SectionHead"/>
    <w:basedOn w:val="BoxTitle"/>
    <w:uiPriority w:val="99"/>
    <w:rsid w:val="00D95EE7"/>
    <w:pPr>
      <w:keepNext/>
      <w:keepLines/>
      <w:tabs>
        <w:tab w:val="clear" w:pos="10132"/>
        <w:tab w:val="right" w:pos="10348"/>
      </w:tabs>
      <w:jc w:val="both"/>
    </w:pPr>
    <w:rPr>
      <w:bCs/>
      <w:color w:val="00408B"/>
      <w:sz w:val="22"/>
      <w:szCs w:val="22"/>
    </w:rPr>
  </w:style>
  <w:style w:type="paragraph" w:customStyle="1" w:styleId="TableHead">
    <w:name w:val="TableHead"/>
    <w:basedOn w:val="BoxTitle"/>
    <w:link w:val="TableHeadChar"/>
    <w:uiPriority w:val="99"/>
    <w:rsid w:val="007E4B8F"/>
    <w:rPr>
      <w:color w:val="00408B"/>
    </w:rPr>
  </w:style>
  <w:style w:type="paragraph" w:customStyle="1" w:styleId="Spacer">
    <w:name w:val="Spacer"/>
    <w:basedOn w:val="Normal"/>
    <w:uiPriority w:val="99"/>
    <w:rsid w:val="002635D6"/>
    <w:rPr>
      <w:sz w:val="6"/>
    </w:rPr>
  </w:style>
  <w:style w:type="paragraph" w:customStyle="1" w:styleId="Responsebudget">
    <w:name w:val="Response budget"/>
    <w:basedOn w:val="Response"/>
    <w:uiPriority w:val="99"/>
    <w:rsid w:val="007D4D00"/>
    <w:pPr>
      <w:jc w:val="right"/>
    </w:pPr>
    <w:rPr>
      <w:rFonts w:cs="Arial"/>
      <w:sz w:val="18"/>
      <w:szCs w:val="18"/>
    </w:rPr>
  </w:style>
  <w:style w:type="paragraph" w:customStyle="1" w:styleId="Responsebudgetitem">
    <w:name w:val="Response budget item"/>
    <w:basedOn w:val="Responsebudget"/>
    <w:uiPriority w:val="99"/>
    <w:rsid w:val="00843EAD"/>
    <w:pPr>
      <w:ind w:left="567"/>
      <w:jc w:val="left"/>
    </w:pPr>
  </w:style>
  <w:style w:type="character" w:customStyle="1" w:styleId="TableHeadChar">
    <w:name w:val="TableHead Char"/>
    <w:basedOn w:val="BoxTitleChar"/>
    <w:link w:val="TableHead"/>
    <w:uiPriority w:val="99"/>
    <w:locked/>
    <w:rsid w:val="009543F7"/>
    <w:rPr>
      <w:color w:val="00408B"/>
    </w:rPr>
  </w:style>
  <w:style w:type="paragraph" w:customStyle="1" w:styleId="Responsefree">
    <w:name w:val="Response free"/>
    <w:basedOn w:val="Response"/>
    <w:uiPriority w:val="99"/>
    <w:rsid w:val="00490E0F"/>
    <w:pPr>
      <w:spacing w:before="120" w:after="120"/>
    </w:pPr>
    <w:rPr>
      <w:rFonts w:ascii="Times New Roman" w:hAnsi="Times New Roman"/>
      <w:b w:val="0"/>
    </w:rPr>
  </w:style>
  <w:style w:type="paragraph" w:customStyle="1" w:styleId="Body">
    <w:name w:val="Body"/>
    <w:basedOn w:val="Normal"/>
    <w:uiPriority w:val="99"/>
    <w:rsid w:val="0058543C"/>
    <w:pPr>
      <w:spacing w:after="120"/>
      <w:jc w:val="both"/>
    </w:pPr>
    <w:rPr>
      <w:rFonts w:ascii="Arial" w:hAnsi="Arial" w:cs="Arial"/>
      <w:sz w:val="20"/>
    </w:rPr>
  </w:style>
  <w:style w:type="paragraph" w:styleId="FootnoteText">
    <w:name w:val="footnote text"/>
    <w:basedOn w:val="Normal"/>
    <w:link w:val="FootnoteTextChar"/>
    <w:uiPriority w:val="99"/>
    <w:semiHidden/>
    <w:rsid w:val="00DF6C67"/>
    <w:rPr>
      <w:rFonts w:ascii="Arial" w:hAnsi="Arial" w:cs="Arial"/>
      <w:sz w:val="20"/>
      <w:lang w:val="en-US"/>
    </w:rPr>
  </w:style>
  <w:style w:type="character" w:customStyle="1" w:styleId="FootnoteTextChar">
    <w:name w:val="Footnote Text Char"/>
    <w:basedOn w:val="DefaultParagraphFont"/>
    <w:link w:val="FootnoteText"/>
    <w:uiPriority w:val="99"/>
    <w:semiHidden/>
    <w:rsid w:val="008D222C"/>
    <w:rPr>
      <w:sz w:val="20"/>
      <w:szCs w:val="20"/>
      <w:lang w:val="en-GB"/>
    </w:rPr>
  </w:style>
  <w:style w:type="character" w:styleId="FootnoteReference">
    <w:name w:val="footnote reference"/>
    <w:basedOn w:val="DefaultParagraphFont"/>
    <w:uiPriority w:val="99"/>
    <w:semiHidden/>
    <w:rsid w:val="009543F7"/>
    <w:rPr>
      <w:rFonts w:cs="Times New Roman"/>
      <w:vertAlign w:val="superscript"/>
    </w:rPr>
  </w:style>
  <w:style w:type="paragraph" w:customStyle="1" w:styleId="BulletList">
    <w:name w:val="BulletList"/>
    <w:basedOn w:val="Body"/>
    <w:uiPriority w:val="99"/>
    <w:rsid w:val="009543F7"/>
    <w:pPr>
      <w:numPr>
        <w:numId w:val="1"/>
      </w:numPr>
    </w:pPr>
  </w:style>
  <w:style w:type="character" w:styleId="CommentReference">
    <w:name w:val="annotation reference"/>
    <w:basedOn w:val="DefaultParagraphFont"/>
    <w:uiPriority w:val="99"/>
    <w:semiHidden/>
    <w:rsid w:val="00737A29"/>
    <w:rPr>
      <w:rFonts w:cs="Times New Roman"/>
      <w:sz w:val="16"/>
      <w:szCs w:val="16"/>
    </w:rPr>
  </w:style>
  <w:style w:type="paragraph" w:styleId="CommentText">
    <w:name w:val="annotation text"/>
    <w:basedOn w:val="Normal"/>
    <w:link w:val="CommentTextChar"/>
    <w:uiPriority w:val="99"/>
    <w:semiHidden/>
    <w:rsid w:val="00737A29"/>
    <w:rPr>
      <w:sz w:val="20"/>
    </w:rPr>
  </w:style>
  <w:style w:type="character" w:customStyle="1" w:styleId="CommentTextChar">
    <w:name w:val="Comment Text Char"/>
    <w:basedOn w:val="DefaultParagraphFont"/>
    <w:link w:val="CommentText"/>
    <w:uiPriority w:val="99"/>
    <w:semiHidden/>
    <w:rsid w:val="008D222C"/>
    <w:rPr>
      <w:sz w:val="20"/>
      <w:szCs w:val="20"/>
      <w:lang w:val="en-GB"/>
    </w:rPr>
  </w:style>
  <w:style w:type="paragraph" w:styleId="CommentSubject">
    <w:name w:val="annotation subject"/>
    <w:basedOn w:val="CommentText"/>
    <w:next w:val="CommentText"/>
    <w:link w:val="CommentSubjectChar"/>
    <w:uiPriority w:val="99"/>
    <w:semiHidden/>
    <w:rsid w:val="00737A29"/>
    <w:rPr>
      <w:b/>
      <w:bCs/>
    </w:rPr>
  </w:style>
  <w:style w:type="character" w:customStyle="1" w:styleId="CommentSubjectChar">
    <w:name w:val="Comment Subject Char"/>
    <w:basedOn w:val="CommentTextChar"/>
    <w:link w:val="CommentSubject"/>
    <w:uiPriority w:val="99"/>
    <w:semiHidden/>
    <w:rsid w:val="008D222C"/>
    <w:rPr>
      <w:b/>
      <w:bCs/>
    </w:rPr>
  </w:style>
</w:styles>
</file>

<file path=word/webSettings.xml><?xml version="1.0" encoding="utf-8"?>
<w:webSettings xmlns:r="http://schemas.openxmlformats.org/officeDocument/2006/relationships" xmlns:w="http://schemas.openxmlformats.org/wordprocessingml/2006/main">
  <w:divs>
    <w:div w:id="777868945">
      <w:marLeft w:val="0"/>
      <w:marRight w:val="0"/>
      <w:marTop w:val="0"/>
      <w:marBottom w:val="0"/>
      <w:divBdr>
        <w:top w:val="none" w:sz="0" w:space="0" w:color="auto"/>
        <w:left w:val="none" w:sz="0" w:space="0" w:color="auto"/>
        <w:bottom w:val="none" w:sz="0" w:space="0" w:color="auto"/>
        <w:right w:val="none" w:sz="0" w:space="0" w:color="auto"/>
      </w:divBdr>
      <w:divsChild>
        <w:div w:id="777868944">
          <w:marLeft w:val="0"/>
          <w:marRight w:val="0"/>
          <w:marTop w:val="86"/>
          <w:marBottom w:val="0"/>
          <w:divBdr>
            <w:top w:val="single" w:sz="6" w:space="4" w:color="666666"/>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ato.int/science"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ato.int/cps/en/natolive/87998.ht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sps.applications@hq.nato.int?subject=ARW%20applicatio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nato.int/cps/en/natolive/88007.ht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Pages>
  <Words>2026</Words>
  <Characters>11551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cp:keywords/>
  <dc:description/>
  <cp:lastModifiedBy/>
  <cp:revision>2</cp:revision>
  <dcterms:created xsi:type="dcterms:W3CDTF">2013-05-13T07:19:00Z</dcterms:created>
  <dcterms:modified xsi:type="dcterms:W3CDTF">2013-05-13T07:19:00Z</dcterms:modified>
</cp:coreProperties>
</file>