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Borders>
          <w:bottom w:val="single" w:sz="4" w:space="0" w:color="auto"/>
        </w:tblBorders>
        <w:tblLayout w:type="fixed"/>
        <w:tblCellMar>
          <w:bottom w:w="142" w:type="dxa"/>
        </w:tblCellMar>
        <w:tblLook w:val="0000"/>
      </w:tblPr>
      <w:tblGrid>
        <w:gridCol w:w="993"/>
        <w:gridCol w:w="9355"/>
      </w:tblGrid>
      <w:tr w:rsidR="00380C71" w:rsidRPr="00F418D1">
        <w:trPr>
          <w:trHeight w:val="1881"/>
        </w:trPr>
        <w:tc>
          <w:tcPr>
            <w:tcW w:w="993" w:type="dxa"/>
            <w:tcBorders>
              <w:bottom w:val="single" w:sz="4" w:space="0" w:color="auto"/>
            </w:tcBorders>
            <w:vAlign w:val="center"/>
          </w:tcPr>
          <w:p w:rsidR="00380C71" w:rsidRPr="00F418D1" w:rsidRDefault="00380C71" w:rsidP="00E33755">
            <w:pPr>
              <w:jc w:val="center"/>
              <w:rPr>
                <w:b/>
                <w:bCs/>
              </w:rPr>
            </w:pPr>
            <w:bookmarkStart w:id="0" w:name="_Toc326767645"/>
            <w:bookmarkStart w:id="1" w:name="_Toc326767647"/>
            <w:r w:rsidRPr="007F3784">
              <w:rPr>
                <w:b/>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5pt;height:90.6pt;visibility:visible">
                  <v:imagedata r:id="rId7" o:title=""/>
                </v:shape>
              </w:pict>
            </w:r>
          </w:p>
        </w:tc>
        <w:tc>
          <w:tcPr>
            <w:tcW w:w="9355" w:type="dxa"/>
            <w:tcBorders>
              <w:bottom w:val="single" w:sz="4" w:space="0" w:color="auto"/>
            </w:tcBorders>
            <w:vAlign w:val="center"/>
          </w:tcPr>
          <w:p w:rsidR="00380C71" w:rsidRPr="00F418D1" w:rsidRDefault="00380C71" w:rsidP="009D25EC">
            <w:pPr>
              <w:spacing w:after="120"/>
              <w:jc w:val="center"/>
              <w:rPr>
                <w:b/>
                <w:bCs/>
                <w:color w:val="3487C8"/>
                <w:sz w:val="22"/>
                <w:szCs w:val="22"/>
              </w:rPr>
            </w:pPr>
            <w:r w:rsidRPr="00F418D1">
              <w:rPr>
                <w:b/>
                <w:bCs/>
                <w:color w:val="3487C8"/>
                <w:sz w:val="22"/>
                <w:szCs w:val="22"/>
              </w:rPr>
              <w:t>Emerging Security Challenges Division</w:t>
            </w:r>
          </w:p>
          <w:p w:rsidR="00380C71" w:rsidRPr="00F418D1" w:rsidRDefault="00380C71" w:rsidP="009D25EC">
            <w:pPr>
              <w:spacing w:after="200"/>
              <w:jc w:val="center"/>
              <w:rPr>
                <w:b/>
                <w:bCs/>
                <w:color w:val="3487C8"/>
                <w:sz w:val="28"/>
                <w:szCs w:val="28"/>
              </w:rPr>
            </w:pPr>
            <w:r w:rsidRPr="00F418D1">
              <w:rPr>
                <w:b/>
                <w:bCs/>
                <w:color w:val="3487C8"/>
                <w:sz w:val="28"/>
                <w:szCs w:val="28"/>
              </w:rPr>
              <w:t>Science for Peace and Security Programme</w:t>
            </w:r>
          </w:p>
          <w:p w:rsidR="00380C71" w:rsidRPr="00F418D1" w:rsidRDefault="00380C71" w:rsidP="009D25EC">
            <w:pPr>
              <w:spacing w:after="200"/>
              <w:jc w:val="center"/>
              <w:rPr>
                <w:rFonts w:ascii="Arial" w:hAnsi="Arial" w:cs="Arial"/>
                <w:b/>
                <w:bCs/>
                <w:color w:val="00408B"/>
                <w:sz w:val="32"/>
                <w:szCs w:val="32"/>
              </w:rPr>
            </w:pPr>
            <w:r w:rsidRPr="00F418D1">
              <w:rPr>
                <w:rFonts w:ascii="Arial" w:hAnsi="Arial" w:cs="Arial"/>
                <w:b/>
                <w:bCs/>
                <w:color w:val="00408B"/>
                <w:sz w:val="32"/>
                <w:szCs w:val="32"/>
              </w:rPr>
              <w:t>Guidelines for Applicants: Advanced Training Course</w:t>
            </w:r>
          </w:p>
          <w:p w:rsidR="00380C71" w:rsidRPr="00F418D1" w:rsidRDefault="00380C71" w:rsidP="009D25EC">
            <w:pPr>
              <w:jc w:val="center"/>
              <w:rPr>
                <w:b/>
                <w:bCs/>
              </w:rPr>
            </w:pPr>
            <w:r w:rsidRPr="00F418D1">
              <w:rPr>
                <w:szCs w:val="18"/>
              </w:rPr>
              <w:t xml:space="preserve">NATO Emerging Security Challenges Division, SPS Programme, Bd. Léopold III, </w:t>
            </w:r>
            <w:r w:rsidRPr="00F418D1" w:rsidDel="00C17795">
              <w:rPr>
                <w:szCs w:val="18"/>
              </w:rPr>
              <w:t>B-</w:t>
            </w:r>
            <w:r w:rsidRPr="00F418D1">
              <w:rPr>
                <w:szCs w:val="18"/>
              </w:rPr>
              <w:t>1110 Brussels, Belgium</w:t>
            </w:r>
          </w:p>
        </w:tc>
      </w:tr>
    </w:tbl>
    <w:p w:rsidR="00380C71" w:rsidRPr="00F418D1" w:rsidRDefault="00380C71" w:rsidP="00234914">
      <w:pPr>
        <w:pStyle w:val="Heading1"/>
      </w:pPr>
      <w:r w:rsidRPr="00F418D1">
        <w:t>Introduction</w:t>
      </w:r>
      <w:bookmarkEnd w:id="0"/>
    </w:p>
    <w:p w:rsidR="00380C71" w:rsidRPr="00F418D1" w:rsidRDefault="00380C71" w:rsidP="0058543C">
      <w:pPr>
        <w:pStyle w:val="Body"/>
      </w:pPr>
      <w:r w:rsidRPr="00F418D1">
        <w:t xml:space="preserve">The NATO Science for Peace and Security Programme (SPS) seeks to enhance cooperation and dialogue with all partners through civil science and innovation. The SPS Programme offers grants for Advanced Training Courses (ATCs) which enable Specialists in NATO countries to share their expertise in one of the </w:t>
      </w:r>
      <w:hyperlink w:anchor="Annex1KeyPriorities" w:history="1">
        <w:r w:rsidRPr="00F418D1">
          <w:rPr>
            <w:rStyle w:val="Hyperlink"/>
            <w:rFonts w:cs="Arial"/>
          </w:rPr>
          <w:t xml:space="preserve">SPS Key Priority Areas </w:t>
        </w:r>
      </w:hyperlink>
      <w:r w:rsidRPr="00F418D1">
        <w:t xml:space="preserve">with Trainees, primarily from </w:t>
      </w:r>
      <w:hyperlink w:anchor="Annex3EligibleCountries" w:history="1">
        <w:r w:rsidRPr="00F418D1">
          <w:rPr>
            <w:rStyle w:val="Hyperlink"/>
            <w:rFonts w:cs="Arial"/>
          </w:rPr>
          <w:t xml:space="preserve">NATO’s </w:t>
        </w:r>
        <w:r>
          <w:rPr>
            <w:rStyle w:val="Hyperlink"/>
            <w:rFonts w:cs="Arial"/>
          </w:rPr>
          <w:t>Partner</w:t>
        </w:r>
        <w:r w:rsidRPr="00F418D1">
          <w:rPr>
            <w:rStyle w:val="Hyperlink"/>
            <w:rFonts w:cs="Arial"/>
          </w:rPr>
          <w:t xml:space="preserve"> countries</w:t>
        </w:r>
      </w:hyperlink>
      <w:r w:rsidRPr="00F418D1">
        <w:t xml:space="preserve">, but also from </w:t>
      </w:r>
      <w:hyperlink w:anchor="Annex3EligibleCountries" w:history="1">
        <w:r w:rsidRPr="00F418D1">
          <w:rPr>
            <w:rStyle w:val="Hyperlink"/>
            <w:rFonts w:cs="Arial"/>
          </w:rPr>
          <w:t>NATO countries</w:t>
        </w:r>
      </w:hyperlink>
      <w:r w:rsidRPr="00F418D1">
        <w:t>.</w:t>
      </w:r>
    </w:p>
    <w:p w:rsidR="00380C71" w:rsidRPr="00F418D1" w:rsidRDefault="00380C71" w:rsidP="002E10B0">
      <w:pPr>
        <w:pStyle w:val="Body"/>
      </w:pPr>
      <w:r w:rsidRPr="00F418D1">
        <w:t xml:space="preserve">A NATO ATC is not intended to be lecture-driven, but to be of a very intensive interactive nature. The training provided in ATCs is aimed at experts with an appropriate background who wish to learn of recent developments in their areas of expertise. ATCs contribute to the training and motivation of experts in </w:t>
      </w:r>
      <w:r>
        <w:t>Partner</w:t>
      </w:r>
      <w:r w:rsidRPr="00F418D1">
        <w:t xml:space="preserve"> countries, and enable the formation and strengthening of international expert networks.</w:t>
      </w:r>
    </w:p>
    <w:p w:rsidR="00380C71" w:rsidRPr="00F418D1" w:rsidRDefault="00380C71" w:rsidP="002E10B0">
      <w:pPr>
        <w:pStyle w:val="Body"/>
      </w:pPr>
      <w:r w:rsidRPr="00F418D1">
        <w:t>ATCs should have a minimum of five and a maximum of seven working days in order to allow for sufficient interaction between the participants.</w:t>
      </w:r>
    </w:p>
    <w:p w:rsidR="00380C71" w:rsidRPr="00F418D1" w:rsidRDefault="00380C71" w:rsidP="0058543C">
      <w:pPr>
        <w:pStyle w:val="Body"/>
      </w:pPr>
      <w:r w:rsidRPr="00F418D1">
        <w:t xml:space="preserve">These Guidelines are also available on the NATO website: </w:t>
      </w:r>
      <w:hyperlink r:id="rId8" w:history="1">
        <w:r w:rsidRPr="00F418D1">
          <w:rPr>
            <w:rStyle w:val="Hyperlink"/>
            <w:rFonts w:cs="Arial"/>
          </w:rPr>
          <w:t>www.nato.int/science</w:t>
        </w:r>
      </w:hyperlink>
      <w:r w:rsidRPr="00F418D1">
        <w:t xml:space="preserve"> along with separate guidelines for SPS Project, Advanced Research Workshop, and Advanced Study Institute grant applicants.</w:t>
      </w:r>
    </w:p>
    <w:p w:rsidR="00380C71" w:rsidRPr="00F418D1" w:rsidRDefault="00380C71" w:rsidP="00234914">
      <w:pPr>
        <w:pStyle w:val="Heading1"/>
      </w:pPr>
      <w:bookmarkStart w:id="2" w:name="_Toc326767646"/>
      <w:r w:rsidRPr="00F418D1">
        <w:t>Who Can Apply?</w:t>
      </w:r>
      <w:bookmarkEnd w:id="2"/>
    </w:p>
    <w:p w:rsidR="00380C71" w:rsidRPr="00F418D1" w:rsidRDefault="00380C71" w:rsidP="00A60A77">
      <w:pPr>
        <w:pStyle w:val="Body"/>
      </w:pPr>
      <w:r w:rsidRPr="00F418D1">
        <w:t xml:space="preserve">Applications must be submitted jointly by an organizer residing and working in a </w:t>
      </w:r>
      <w:hyperlink w:anchor="Annex3EligibleCountries" w:history="1">
        <w:r w:rsidRPr="00F418D1">
          <w:rPr>
            <w:rStyle w:val="Hyperlink"/>
            <w:rFonts w:cs="Arial"/>
          </w:rPr>
          <w:t xml:space="preserve">NATO country </w:t>
        </w:r>
      </w:hyperlink>
      <w:r w:rsidRPr="00F418D1">
        <w:t xml:space="preserve">and one residing and working in a </w:t>
      </w:r>
      <w:hyperlink w:anchor="Annex3EligibleCountries" w:history="1">
        <w:r>
          <w:rPr>
            <w:rStyle w:val="Hyperlink"/>
            <w:rFonts w:cs="Arial"/>
          </w:rPr>
          <w:t>Partner</w:t>
        </w:r>
        <w:r w:rsidRPr="00F418D1">
          <w:rPr>
            <w:rStyle w:val="Hyperlink"/>
            <w:rFonts w:cs="Arial"/>
          </w:rPr>
          <w:t xml:space="preserve"> country</w:t>
        </w:r>
      </w:hyperlink>
      <w:r w:rsidRPr="00F418D1">
        <w:t>. Individuals from for-profit private companies are not eligible. Both applicants must be fully involved in course organization and the selection of participants. These Co-Directors prepare the training programme, select participants, organize course practicalities, administer the NATO funds, and report to NATO; they generally also serve as Specialists themselves during the course. The Co-Directors should be assisted by a small Organizing Committee from at least two NATO countries selected from amongst the ATC Specialists.</w:t>
      </w:r>
    </w:p>
    <w:p w:rsidR="00380C71" w:rsidRPr="00F418D1" w:rsidRDefault="00380C71" w:rsidP="00A60A77">
      <w:pPr>
        <w:pStyle w:val="Body"/>
      </w:pPr>
      <w:r w:rsidRPr="00F418D1">
        <w:t>Applicants should note that they cannot have more than one SPS activity running simultaneously. Prospective Co-Directors should ensure that the file on any previous SPS activity directed by either of them is closed before applying to direct another.</w:t>
      </w:r>
    </w:p>
    <w:p w:rsidR="00380C71" w:rsidRPr="00F418D1" w:rsidRDefault="00380C71" w:rsidP="000A557F">
      <w:pPr>
        <w:pStyle w:val="Heading1"/>
      </w:pPr>
      <w:r w:rsidRPr="00F418D1">
        <w:t>Location</w:t>
      </w:r>
    </w:p>
    <w:p w:rsidR="00380C71" w:rsidRPr="00F418D1" w:rsidRDefault="00380C71" w:rsidP="000A557F">
      <w:pPr>
        <w:pStyle w:val="Body"/>
      </w:pPr>
      <w:r w:rsidRPr="00F418D1">
        <w:t xml:space="preserve">An ATC should preferably be held in a </w:t>
      </w:r>
      <w:hyperlink w:anchor="Annex3EligibleCountries" w:history="1">
        <w:r>
          <w:rPr>
            <w:rStyle w:val="Hyperlink"/>
            <w:rFonts w:cs="Arial"/>
          </w:rPr>
          <w:t>Partner</w:t>
        </w:r>
        <w:r w:rsidRPr="00F418D1">
          <w:rPr>
            <w:rStyle w:val="Hyperlink"/>
            <w:rFonts w:cs="Arial"/>
          </w:rPr>
          <w:t xml:space="preserve"> country</w:t>
        </w:r>
      </w:hyperlink>
      <w:r w:rsidRPr="00F418D1">
        <w:t>.</w:t>
      </w:r>
    </w:p>
    <w:p w:rsidR="00380C71" w:rsidRPr="00F418D1" w:rsidRDefault="00380C71" w:rsidP="000A557F">
      <w:pPr>
        <w:pStyle w:val="Body"/>
      </w:pPr>
      <w:r w:rsidRPr="00F418D1">
        <w:t xml:space="preserve">The ATC should be held at a suitable location with all facilities including training rooms and accommodation at the same site. Furthermore, the site should provide </w:t>
      </w:r>
      <w:r>
        <w:t xml:space="preserve">a </w:t>
      </w:r>
      <w:r w:rsidRPr="00F418D1">
        <w:t>calm and quiet</w:t>
      </w:r>
      <w:r>
        <w:t xml:space="preserve"> environment</w:t>
      </w:r>
      <w:r w:rsidRPr="00F418D1">
        <w:t>, adequate audiovisual and computer facilities, spaces for informal meetings to allow free exchange of views among participants, and easy access to local assistance for practical arrangements such as travel, banking, and so forth.</w:t>
      </w:r>
    </w:p>
    <w:p w:rsidR="00380C71" w:rsidRPr="00F418D1" w:rsidRDefault="00380C71" w:rsidP="000A557F">
      <w:pPr>
        <w:pStyle w:val="Heading1"/>
      </w:pPr>
      <w:r w:rsidRPr="00F418D1">
        <w:t>Participation</w:t>
      </w:r>
    </w:p>
    <w:p w:rsidR="00380C71" w:rsidRPr="00F418D1" w:rsidRDefault="00380C71" w:rsidP="000A557F">
      <w:pPr>
        <w:pStyle w:val="Body"/>
      </w:pPr>
      <w:r w:rsidRPr="00F418D1">
        <w:t>Participation in an ATC is at the discretion of the Co-Directors. Prospective Specialists should be contacted during the preparation of the ATC application and their degree of commitment noted. Applications with low Specialist commitment stand a reduced chance of being awarded.</w:t>
      </w:r>
    </w:p>
    <w:p w:rsidR="00380C71" w:rsidRPr="00F418D1" w:rsidRDefault="00380C71" w:rsidP="000A557F">
      <w:pPr>
        <w:pStyle w:val="Body"/>
      </w:pPr>
      <w:r w:rsidRPr="00F418D1">
        <w:t xml:space="preserve">The Co-Directors and the Organising Committee are responsible for selecting 20 to 50 appropriate Trainees, primarily from </w:t>
      </w:r>
      <w:hyperlink w:anchor="Annex3EligibleCountries" w:history="1">
        <w:r>
          <w:rPr>
            <w:rStyle w:val="Hyperlink"/>
            <w:rFonts w:cs="Arial"/>
          </w:rPr>
          <w:t>Partner</w:t>
        </w:r>
        <w:r w:rsidRPr="00F418D1">
          <w:rPr>
            <w:rStyle w:val="Hyperlink"/>
            <w:rFonts w:cs="Arial"/>
          </w:rPr>
          <w:t xml:space="preserve"> countries </w:t>
        </w:r>
      </w:hyperlink>
      <w:r w:rsidRPr="00F418D1">
        <w:t xml:space="preserve">although NATO-country Trainees may also be considered. ATC Trainees should be selected on the basis of their qualifications and experience and the benefit that they may draw from the ATC for their future activities. </w:t>
      </w:r>
    </w:p>
    <w:p w:rsidR="00380C71" w:rsidRPr="00F418D1" w:rsidRDefault="00380C71" w:rsidP="00BD2A50">
      <w:pPr>
        <w:pStyle w:val="Heading1"/>
        <w:jc w:val="both"/>
      </w:pPr>
      <w:bookmarkStart w:id="3" w:name="Funding"/>
      <w:bookmarkEnd w:id="3"/>
      <w:r w:rsidRPr="00F418D1">
        <w:t>Funding</w:t>
      </w:r>
    </w:p>
    <w:p w:rsidR="00380C71" w:rsidRPr="00F418D1" w:rsidRDefault="00380C71" w:rsidP="00BD2A50">
      <w:pPr>
        <w:pStyle w:val="Body"/>
      </w:pPr>
      <w:r w:rsidRPr="00F418D1">
        <w:t xml:space="preserve">The NATO grant pays for direct organizational expenses of the ATC as well as the travel and living expenses of all Specialists, and to subsidize the attendance of Trainees from </w:t>
      </w:r>
      <w:hyperlink w:anchor="Annex3EligibleCountries" w:history="1">
        <w:r w:rsidRPr="00F418D1">
          <w:rPr>
            <w:rStyle w:val="Hyperlink"/>
            <w:rFonts w:cs="Arial"/>
          </w:rPr>
          <w:t xml:space="preserve">NATO countries </w:t>
        </w:r>
      </w:hyperlink>
      <w:r w:rsidRPr="00F418D1">
        <w:t xml:space="preserve">and from </w:t>
      </w:r>
      <w:hyperlink w:anchor="Annex3EligibleCountries" w:history="1">
        <w:r>
          <w:rPr>
            <w:rStyle w:val="Hyperlink"/>
            <w:rFonts w:cs="Arial"/>
          </w:rPr>
          <w:t>Partner</w:t>
        </w:r>
        <w:r w:rsidRPr="00F418D1">
          <w:rPr>
            <w:rStyle w:val="Hyperlink"/>
            <w:rFonts w:cs="Arial"/>
          </w:rPr>
          <w:t xml:space="preserve"> countrie</w:t>
        </w:r>
        <w:r>
          <w:rPr>
            <w:rStyle w:val="Hyperlink"/>
            <w:rFonts w:cs="Arial"/>
          </w:rPr>
          <w:t>s eligible to receive NATO funding</w:t>
        </w:r>
        <w:r w:rsidRPr="00F418D1">
          <w:rPr>
            <w:rStyle w:val="Hyperlink"/>
            <w:rFonts w:cs="Arial"/>
          </w:rPr>
          <w:t xml:space="preserve"> </w:t>
        </w:r>
      </w:hyperlink>
      <w:r w:rsidRPr="00F418D1">
        <w:t>who are unable to obtain financial support from other sources. The organizers are expected to minimise costs by efficient organization of the course and the choice of location. Organizational expenses should not exceed 25% of overall NATO funding.</w:t>
      </w:r>
    </w:p>
    <w:p w:rsidR="00380C71" w:rsidRPr="00F418D1" w:rsidRDefault="00380C71" w:rsidP="00BD2A50">
      <w:pPr>
        <w:pStyle w:val="Body"/>
      </w:pPr>
      <w:r w:rsidRPr="00F418D1">
        <w:t xml:space="preserve">The funding awarded for each ATC is determined by NATO, taking into account the number of participants, and the size, duration and location of the course; typical courses average €60,000. The NATO grant will be awarded in Euro, but payment may be made in any currency desired by the Co-Directors. </w:t>
      </w:r>
      <w:r>
        <w:t>For administrative reasons, t</w:t>
      </w:r>
      <w:r w:rsidRPr="00F418D1">
        <w:t xml:space="preserve">he award is made to the NATO country Co-Director who is responsible for coordinating expenditures with the </w:t>
      </w:r>
      <w:r>
        <w:t>Partner</w:t>
      </w:r>
      <w:r w:rsidRPr="00F418D1">
        <w:t xml:space="preserve"> country Co-Director and providing financial reporting to NATO</w:t>
      </w:r>
      <w:r>
        <w:rPr>
          <w:rStyle w:val="FootnoteReference"/>
          <w:rFonts w:cs="Arial"/>
        </w:rPr>
        <w:footnoteReference w:id="1"/>
      </w:r>
      <w:r w:rsidRPr="00F418D1">
        <w:t>.</w:t>
      </w:r>
    </w:p>
    <w:p w:rsidR="00380C71" w:rsidRPr="00F418D1" w:rsidRDefault="00380C71" w:rsidP="00BD2A50">
      <w:pPr>
        <w:pStyle w:val="Body"/>
      </w:pPr>
      <w:r w:rsidRPr="00F418D1">
        <w:t>Many organizers find that the NATO grant attracts wider support, and joint sponsorship and support are welcome, provided that the course conforms to the ATC format and is designated a "NATO Advanced Training Course".</w:t>
      </w:r>
    </w:p>
    <w:p w:rsidR="00380C71" w:rsidRPr="00F418D1" w:rsidRDefault="00380C71" w:rsidP="00A81CB9">
      <w:pPr>
        <w:pStyle w:val="Heading1"/>
        <w:jc w:val="both"/>
      </w:pPr>
      <w:r w:rsidRPr="00F418D1">
        <w:t>Reporting</w:t>
      </w:r>
    </w:p>
    <w:p w:rsidR="00380C71" w:rsidRPr="00F418D1" w:rsidRDefault="00380C71" w:rsidP="00A81CB9">
      <w:pPr>
        <w:pStyle w:val="Body"/>
        <w:rPr>
          <w:b/>
          <w:bCs/>
        </w:rPr>
      </w:pPr>
      <w:r w:rsidRPr="00F418D1">
        <w:t xml:space="preserve">The NATO country Co-Director, in consultation with the </w:t>
      </w:r>
      <w:r>
        <w:t>Partner</w:t>
      </w:r>
      <w:r w:rsidRPr="00F418D1">
        <w:t xml:space="preserve"> country Co-Director, </w:t>
      </w:r>
      <w:r w:rsidRPr="00F418D1">
        <w:rPr>
          <w:bCs/>
        </w:rPr>
        <w:t>must</w:t>
      </w:r>
      <w:r w:rsidRPr="00F418D1">
        <w:t xml:space="preserve"> submit a General Report to NATO within 30 days of the end of the ATC, and a Fin</w:t>
      </w:r>
      <w:r w:rsidRPr="00F418D1">
        <w:rPr>
          <w:bCs/>
        </w:rPr>
        <w:t>ancial Report within 120 days.</w:t>
      </w:r>
      <w:r w:rsidRPr="00F418D1">
        <w:t xml:space="preserve"> </w:t>
      </w:r>
      <w:r w:rsidRPr="00780BD7">
        <w:rPr>
          <w:bCs/>
        </w:rPr>
        <w:t>S</w:t>
      </w:r>
      <w:r w:rsidRPr="00F418D1">
        <w:t>pecific forms for these reports can be found at the SPS website under ‘</w:t>
      </w:r>
      <w:hyperlink r:id="rId9" w:history="1">
        <w:r w:rsidRPr="00F418D1">
          <w:rPr>
            <w:rStyle w:val="Hyperlink"/>
            <w:rFonts w:cs="Arial"/>
          </w:rPr>
          <w:t>How to report?</w:t>
        </w:r>
      </w:hyperlink>
      <w:r w:rsidRPr="00F418D1">
        <w:t>’.</w:t>
      </w:r>
    </w:p>
    <w:p w:rsidR="00380C71" w:rsidRPr="00F418D1" w:rsidRDefault="00380C71" w:rsidP="00A81CB9">
      <w:pPr>
        <w:pStyle w:val="Heading1"/>
        <w:jc w:val="both"/>
      </w:pPr>
      <w:r w:rsidRPr="00F418D1">
        <w:t>Publication</w:t>
      </w:r>
    </w:p>
    <w:p w:rsidR="00380C71" w:rsidRDefault="00380C71" w:rsidP="00B8767B">
      <w:pPr>
        <w:pStyle w:val="Body"/>
      </w:pPr>
      <w:r w:rsidRPr="00F418D1">
        <w:t xml:space="preserve">Publication of the results of the ATC as a book in the NATO </w:t>
      </w:r>
      <w:r>
        <w:t>s</w:t>
      </w:r>
      <w:r w:rsidRPr="00F418D1">
        <w:t xml:space="preserve">cience </w:t>
      </w:r>
      <w:r>
        <w:t>s</w:t>
      </w:r>
      <w:r w:rsidRPr="00F418D1">
        <w:t>eries is recommended. The publication should take the form of a textbook written by a team of authors, rather than straightforward proceedings, so that the benefits of the ATC can be extended to experts who did not have the opportunity to participate.</w:t>
      </w:r>
      <w:r w:rsidRPr="00B8767B">
        <w:t xml:space="preserve"> </w:t>
      </w:r>
      <w:r>
        <w:t xml:space="preserve">Once it </w:t>
      </w:r>
      <w:r w:rsidRPr="00A81CB9">
        <w:t xml:space="preserve">has been accepted by the NATO </w:t>
      </w:r>
      <w:r>
        <w:t>s</w:t>
      </w:r>
      <w:r w:rsidRPr="00A81CB9">
        <w:t xml:space="preserve">cience </w:t>
      </w:r>
      <w:r>
        <w:t>s</w:t>
      </w:r>
      <w:r w:rsidRPr="00A81CB9">
        <w:t>eries publisher</w:t>
      </w:r>
      <w:r>
        <w:t xml:space="preserve">, an </w:t>
      </w:r>
      <w:r w:rsidRPr="00A81CB9">
        <w:t>additional grant may be made available for the preparation of the manuscript</w:t>
      </w:r>
      <w:r>
        <w:t xml:space="preserve">; publication outside the NATO science series is not eligible for this additional grant. </w:t>
      </w:r>
      <w:r w:rsidRPr="00A81CB9">
        <w:t>Co-ordination of the publication is the responsi</w:t>
      </w:r>
      <w:r>
        <w:t>bility of the NATO Co-Director.</w:t>
      </w:r>
    </w:p>
    <w:p w:rsidR="00380C71" w:rsidRPr="00F418D1" w:rsidRDefault="00380C71" w:rsidP="00A56AFA">
      <w:pPr>
        <w:pStyle w:val="Heading1"/>
      </w:pPr>
      <w:r w:rsidRPr="00F418D1">
        <w:t>Application and Review Process</w:t>
      </w:r>
    </w:p>
    <w:p w:rsidR="00380C71" w:rsidRPr="00F418D1" w:rsidRDefault="00380C71" w:rsidP="00A81CB9">
      <w:pPr>
        <w:pStyle w:val="Body"/>
      </w:pPr>
      <w:r w:rsidRPr="00F418D1">
        <w:t xml:space="preserve">After having contacted potential Specialists to gauge their interest and commitment to the proposed ATC, prospective Co-Directors submit </w:t>
      </w:r>
      <w:r>
        <w:t>the</w:t>
      </w:r>
      <w:r w:rsidRPr="00F418D1">
        <w:t xml:space="preserve"> </w:t>
      </w:r>
      <w:r>
        <w:t xml:space="preserve">ATC </w:t>
      </w:r>
      <w:r w:rsidRPr="00F418D1">
        <w:t>application</w:t>
      </w:r>
      <w:r>
        <w:t xml:space="preserve">, available on the SPS website, to the SPS Programme office at </w:t>
      </w:r>
      <w:hyperlink r:id="rId10" w:history="1">
        <w:r w:rsidRPr="001D5493">
          <w:rPr>
            <w:rStyle w:val="Hyperlink"/>
            <w:rFonts w:cs="Arial"/>
          </w:rPr>
          <w:t>sps.applications@hq.nato.int</w:t>
        </w:r>
      </w:hyperlink>
      <w:r w:rsidRPr="00A56AFA">
        <w:t>, in Microsoft Word format if at all possible</w:t>
      </w:r>
      <w:r>
        <w:t xml:space="preserve">. </w:t>
      </w:r>
      <w:r w:rsidRPr="00ED3C77">
        <w:t xml:space="preserve">This </w:t>
      </w:r>
      <w:r>
        <w:t>application</w:t>
      </w:r>
      <w:r w:rsidRPr="00ED3C77">
        <w:t xml:space="preserve"> is reviewed by the SPS staff and by the Independent Scientific Evaluation Group (ISEG) convened by NATO</w:t>
      </w:r>
      <w:r>
        <w:t xml:space="preserve"> based on:</w:t>
      </w:r>
    </w:p>
    <w:p w:rsidR="00380C71" w:rsidRPr="00F418D1" w:rsidRDefault="00380C71" w:rsidP="00BF5954">
      <w:pPr>
        <w:pStyle w:val="Body"/>
        <w:numPr>
          <w:ilvl w:val="0"/>
          <w:numId w:val="4"/>
        </w:numPr>
        <w:spacing w:after="0"/>
        <w:ind w:left="714" w:hanging="357"/>
      </w:pPr>
      <w:r w:rsidRPr="00F418D1">
        <w:t>scientific and technical quality of the proposed meeting</w:t>
      </w:r>
    </w:p>
    <w:p w:rsidR="00380C71" w:rsidRPr="00F418D1" w:rsidRDefault="00380C71" w:rsidP="00BF5954">
      <w:pPr>
        <w:pStyle w:val="Body"/>
        <w:numPr>
          <w:ilvl w:val="0"/>
          <w:numId w:val="4"/>
        </w:numPr>
        <w:spacing w:after="0"/>
        <w:ind w:left="714" w:hanging="357"/>
      </w:pPr>
      <w:r w:rsidRPr="00F418D1">
        <w:t>importance and quality of the course educational objectives</w:t>
      </w:r>
    </w:p>
    <w:p w:rsidR="00380C71" w:rsidRPr="00F418D1" w:rsidRDefault="00380C71" w:rsidP="00BF5954">
      <w:pPr>
        <w:pStyle w:val="Body"/>
        <w:numPr>
          <w:ilvl w:val="0"/>
          <w:numId w:val="4"/>
        </w:numPr>
        <w:spacing w:after="0"/>
        <w:ind w:left="714" w:hanging="357"/>
      </w:pPr>
      <w:r w:rsidRPr="00F418D1">
        <w:t>design of the teaching programme</w:t>
      </w:r>
    </w:p>
    <w:p w:rsidR="00380C71" w:rsidRPr="00F418D1" w:rsidRDefault="00380C71" w:rsidP="00BF5954">
      <w:pPr>
        <w:pStyle w:val="Body"/>
        <w:numPr>
          <w:ilvl w:val="0"/>
          <w:numId w:val="4"/>
        </w:numPr>
        <w:spacing w:after="0"/>
        <w:ind w:left="714" w:hanging="357"/>
      </w:pPr>
      <w:r w:rsidRPr="00F418D1">
        <w:t>qualifications and level of commitment of the proposed Specialists</w:t>
      </w:r>
    </w:p>
    <w:p w:rsidR="00380C71" w:rsidRPr="00F418D1" w:rsidRDefault="00380C71" w:rsidP="00BF5954">
      <w:pPr>
        <w:pStyle w:val="Body"/>
        <w:numPr>
          <w:ilvl w:val="0"/>
          <w:numId w:val="4"/>
        </w:numPr>
        <w:spacing w:after="0"/>
        <w:ind w:left="714" w:hanging="357"/>
      </w:pPr>
      <w:r w:rsidRPr="00F418D1">
        <w:t>appropriateness and importance of the Trainee audience</w:t>
      </w:r>
    </w:p>
    <w:p w:rsidR="00380C71" w:rsidRPr="00F418D1" w:rsidRDefault="00380C71" w:rsidP="00BF5954">
      <w:pPr>
        <w:pStyle w:val="Body"/>
        <w:numPr>
          <w:ilvl w:val="0"/>
          <w:numId w:val="4"/>
        </w:numPr>
        <w:ind w:left="714" w:hanging="357"/>
      </w:pPr>
      <w:r w:rsidRPr="00F418D1">
        <w:t xml:space="preserve">relevance </w:t>
      </w:r>
      <w:r>
        <w:t xml:space="preserve">to </w:t>
      </w:r>
      <w:r w:rsidRPr="00F418D1">
        <w:t xml:space="preserve">the </w:t>
      </w:r>
      <w:hyperlink w:anchor="Annex1KeyPriorities" w:history="1">
        <w:r w:rsidRPr="00F418D1">
          <w:rPr>
            <w:rStyle w:val="Hyperlink"/>
            <w:rFonts w:cs="Arial"/>
          </w:rPr>
          <w:t>SPS Key Priorities</w:t>
        </w:r>
      </w:hyperlink>
    </w:p>
    <w:p w:rsidR="00380C71" w:rsidRPr="00F418D1" w:rsidRDefault="00380C71" w:rsidP="0058543C">
      <w:pPr>
        <w:pStyle w:val="Body"/>
      </w:pPr>
      <w:r w:rsidRPr="00F418D1">
        <w:t>Applications recommended by the ISEG will then be reviewed by NATO which makes the final decision to fund or reject a proposed ATC.</w:t>
      </w:r>
    </w:p>
    <w:p w:rsidR="00380C71" w:rsidRPr="00F418D1" w:rsidRDefault="00380C71" w:rsidP="0058543C">
      <w:pPr>
        <w:pStyle w:val="Body"/>
      </w:pPr>
      <w:r>
        <w:t>Applications</w:t>
      </w:r>
      <w:r w:rsidRPr="00ED3C77">
        <w:t xml:space="preserve"> may be submitted at any time</w:t>
      </w:r>
      <w:r>
        <w:t xml:space="preserve"> and will be evaluated twice annually by the Independent Scientific Evaluation Group with deadlines for each cycle posted on the </w:t>
      </w:r>
      <w:hyperlink r:id="rId11" w:history="1">
        <w:r w:rsidRPr="00E56CC7">
          <w:rPr>
            <w:rStyle w:val="Hyperlink"/>
            <w:rFonts w:cs="Arial"/>
          </w:rPr>
          <w:t>SPS website</w:t>
        </w:r>
      </w:hyperlink>
      <w:r>
        <w:t>.</w:t>
      </w:r>
      <w:r w:rsidRPr="00F418D1">
        <w:t xml:space="preserve"> The overall process for a successful application, from the deadline to confirmation of funding can take up to nine months. Please plan the dates of your proposed ATC accordingly.</w:t>
      </w:r>
    </w:p>
    <w:p w:rsidR="00380C71" w:rsidRPr="00F418D1" w:rsidRDefault="00380C71" w:rsidP="003002B1">
      <w:pPr>
        <w:pStyle w:val="Heading1"/>
      </w:pPr>
      <w:r w:rsidRPr="00F418D1">
        <w:t>List of Annexes</w:t>
      </w:r>
    </w:p>
    <w:p w:rsidR="00380C71" w:rsidRPr="00F418D1" w:rsidRDefault="00380C71" w:rsidP="00BF5954">
      <w:pPr>
        <w:pStyle w:val="Body"/>
        <w:numPr>
          <w:ilvl w:val="0"/>
          <w:numId w:val="3"/>
        </w:numPr>
        <w:tabs>
          <w:tab w:val="clear" w:pos="720"/>
          <w:tab w:val="num" w:pos="1418"/>
        </w:tabs>
        <w:spacing w:after="0"/>
      </w:pPr>
      <w:r w:rsidRPr="00F418D1">
        <w:t>SPS Key Priorities</w:t>
      </w:r>
    </w:p>
    <w:p w:rsidR="00380C71" w:rsidRDefault="00380C71" w:rsidP="00BF5954">
      <w:pPr>
        <w:pStyle w:val="Body"/>
        <w:numPr>
          <w:ilvl w:val="0"/>
          <w:numId w:val="3"/>
        </w:numPr>
        <w:tabs>
          <w:tab w:val="clear" w:pos="720"/>
          <w:tab w:val="num" w:pos="1418"/>
        </w:tabs>
        <w:spacing w:after="0"/>
      </w:pPr>
      <w:r w:rsidRPr="00F418D1">
        <w:t>Eligible Countries</w:t>
      </w:r>
    </w:p>
    <w:p w:rsidR="00380C71" w:rsidRDefault="00380C71">
      <w:pPr>
        <w:rPr>
          <w:rFonts w:ascii="Arial" w:hAnsi="Arial" w:cs="Arial"/>
          <w:sz w:val="20"/>
        </w:rPr>
      </w:pPr>
      <w:r>
        <w:br w:type="page"/>
      </w: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380C71" w:rsidRPr="00F418D1">
        <w:trPr>
          <w:trHeight w:val="1881"/>
        </w:trPr>
        <w:tc>
          <w:tcPr>
            <w:tcW w:w="993" w:type="dxa"/>
            <w:tcBorders>
              <w:bottom w:val="single" w:sz="4" w:space="0" w:color="auto"/>
            </w:tcBorders>
            <w:vAlign w:val="center"/>
          </w:tcPr>
          <w:p w:rsidR="00380C71" w:rsidRPr="00F418D1" w:rsidRDefault="00380C71" w:rsidP="00E33755">
            <w:pPr>
              <w:jc w:val="center"/>
              <w:rPr>
                <w:b/>
                <w:bCs/>
              </w:rPr>
            </w:pPr>
            <w:bookmarkStart w:id="4" w:name="Annex1KeyPriorities"/>
            <w:bookmarkEnd w:id="4"/>
            <w:r w:rsidRPr="007F3784">
              <w:rPr>
                <w:b/>
                <w:noProof/>
                <w:lang w:val="en-US"/>
              </w:rPr>
              <w:pict>
                <v:shape id="Picture 2" o:spid="_x0000_i1026" type="#_x0000_t75" style="width:45pt;height:90.6pt;visibility:visible">
                  <v:imagedata r:id="rId7" o:title=""/>
                </v:shape>
              </w:pict>
            </w:r>
          </w:p>
        </w:tc>
        <w:tc>
          <w:tcPr>
            <w:tcW w:w="9355" w:type="dxa"/>
            <w:tcBorders>
              <w:bottom w:val="single" w:sz="4" w:space="0" w:color="auto"/>
            </w:tcBorders>
            <w:vAlign w:val="center"/>
          </w:tcPr>
          <w:p w:rsidR="00380C71" w:rsidRPr="00F418D1" w:rsidRDefault="00380C71" w:rsidP="000A5DB2">
            <w:pPr>
              <w:spacing w:after="120"/>
              <w:jc w:val="center"/>
              <w:rPr>
                <w:b/>
                <w:bCs/>
                <w:color w:val="3487C8"/>
                <w:sz w:val="22"/>
                <w:szCs w:val="22"/>
              </w:rPr>
            </w:pPr>
            <w:r w:rsidRPr="00F418D1">
              <w:rPr>
                <w:b/>
                <w:bCs/>
                <w:color w:val="3487C8"/>
                <w:sz w:val="22"/>
                <w:szCs w:val="22"/>
              </w:rPr>
              <w:t>Emerging Security Challenges Division</w:t>
            </w:r>
          </w:p>
          <w:p w:rsidR="00380C71" w:rsidRPr="00F418D1" w:rsidRDefault="00380C71" w:rsidP="000A5DB2">
            <w:pPr>
              <w:spacing w:after="200"/>
              <w:jc w:val="center"/>
              <w:rPr>
                <w:b/>
                <w:bCs/>
                <w:color w:val="3487C8"/>
                <w:sz w:val="28"/>
                <w:szCs w:val="28"/>
              </w:rPr>
            </w:pPr>
            <w:r w:rsidRPr="00F418D1">
              <w:rPr>
                <w:b/>
                <w:bCs/>
                <w:color w:val="3487C8"/>
                <w:sz w:val="28"/>
                <w:szCs w:val="28"/>
              </w:rPr>
              <w:t>Science for Peace and Security Programme</w:t>
            </w:r>
          </w:p>
          <w:p w:rsidR="00380C71" w:rsidRPr="00F418D1" w:rsidRDefault="00380C71" w:rsidP="000A5DB2">
            <w:pPr>
              <w:spacing w:after="200"/>
              <w:jc w:val="center"/>
              <w:rPr>
                <w:rFonts w:ascii="Arial" w:hAnsi="Arial" w:cs="Arial"/>
                <w:b/>
                <w:bCs/>
                <w:color w:val="00408B"/>
                <w:sz w:val="28"/>
                <w:szCs w:val="28"/>
              </w:rPr>
            </w:pPr>
            <w:r w:rsidRPr="00F418D1">
              <w:rPr>
                <w:rFonts w:ascii="Arial" w:hAnsi="Arial" w:cs="Arial"/>
                <w:b/>
                <w:bCs/>
                <w:color w:val="00408B"/>
                <w:sz w:val="28"/>
                <w:szCs w:val="28"/>
              </w:rPr>
              <w:t>Guidelines for Applicants</w:t>
            </w:r>
            <w:r w:rsidRPr="00F418D1">
              <w:rPr>
                <w:rFonts w:ascii="Arial" w:hAnsi="Arial" w:cs="Arial"/>
                <w:b/>
                <w:bCs/>
                <w:color w:val="00408B"/>
                <w:sz w:val="28"/>
                <w:szCs w:val="28"/>
              </w:rPr>
              <w:br/>
              <w:t>ANNEX 1: SPS Key Priorities</w:t>
            </w:r>
          </w:p>
          <w:p w:rsidR="00380C71" w:rsidRPr="00F418D1" w:rsidRDefault="00380C71" w:rsidP="000A5DB2">
            <w:pPr>
              <w:jc w:val="center"/>
              <w:rPr>
                <w:b/>
                <w:bCs/>
              </w:rPr>
            </w:pPr>
            <w:r w:rsidRPr="00F418D1">
              <w:rPr>
                <w:szCs w:val="18"/>
              </w:rPr>
              <w:t xml:space="preserve">NATO Emerging Security Challenges Division, SPS Programme, Bd. Léopold III, </w:t>
            </w:r>
            <w:r w:rsidRPr="00F418D1" w:rsidDel="00C17795">
              <w:rPr>
                <w:szCs w:val="18"/>
              </w:rPr>
              <w:t>B-</w:t>
            </w:r>
            <w:r w:rsidRPr="00F418D1">
              <w:rPr>
                <w:szCs w:val="18"/>
              </w:rPr>
              <w:t>1110 Brussels, Belgium</w:t>
            </w:r>
          </w:p>
        </w:tc>
      </w:tr>
    </w:tbl>
    <w:p w:rsidR="00380C71" w:rsidRPr="00F418D1" w:rsidRDefault="00380C71" w:rsidP="00F3542A">
      <w:pPr>
        <w:spacing w:before="120" w:after="60"/>
        <w:jc w:val="both"/>
        <w:rPr>
          <w:rFonts w:ascii="Arial" w:hAnsi="Arial" w:cs="Arial"/>
          <w:sz w:val="20"/>
        </w:rPr>
      </w:pPr>
      <w:r w:rsidRPr="00F418D1">
        <w:rPr>
          <w:rFonts w:ascii="Arial" w:hAnsi="Arial" w:cs="Arial"/>
          <w:sz w:val="20"/>
        </w:rPr>
        <w:t>All activities funded under the SPS Programme must address the SPS Key Priorities listed below and must have a clear link to security and to NATO’s strategic objectives.</w:t>
      </w:r>
    </w:p>
    <w:p w:rsidR="00380C71" w:rsidRPr="00F418D1" w:rsidRDefault="00380C71" w:rsidP="00BF5954">
      <w:pPr>
        <w:numPr>
          <w:ilvl w:val="0"/>
          <w:numId w:val="2"/>
        </w:numPr>
        <w:jc w:val="both"/>
        <w:rPr>
          <w:rFonts w:ascii="Arial" w:hAnsi="Arial" w:cs="Arial"/>
          <w:b/>
          <w:sz w:val="20"/>
        </w:rPr>
      </w:pPr>
      <w:r w:rsidRPr="00F418D1">
        <w:rPr>
          <w:rFonts w:ascii="Arial" w:hAnsi="Arial" w:cs="Arial"/>
          <w:b/>
          <w:sz w:val="20"/>
        </w:rPr>
        <w:t>Facilitate mutually beneficial cooperation on issues of common interest, including international efforts to meet emerging security challenges</w:t>
      </w:r>
    </w:p>
    <w:p w:rsidR="00380C71" w:rsidRPr="00F418D1" w:rsidRDefault="00380C71" w:rsidP="00BF5954">
      <w:pPr>
        <w:numPr>
          <w:ilvl w:val="1"/>
          <w:numId w:val="2"/>
        </w:numPr>
        <w:jc w:val="both"/>
        <w:rPr>
          <w:rFonts w:ascii="Arial" w:hAnsi="Arial" w:cs="Arial"/>
          <w:i/>
          <w:sz w:val="20"/>
        </w:rPr>
      </w:pPr>
      <w:r w:rsidRPr="00F418D1">
        <w:rPr>
          <w:rFonts w:ascii="Arial" w:hAnsi="Arial" w:cs="Arial"/>
          <w:i/>
          <w:sz w:val="20"/>
        </w:rPr>
        <w:t>Counter-Terrorism</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Methods for the protection of critical infrastructure, supplies and personnel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Human factors in the defence against terrorism</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Detection technologies against the terrorist threat for explosive devices and other illicit activities</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Risk management, best practices and technologies in response to terrorism.</w:t>
      </w:r>
    </w:p>
    <w:p w:rsidR="00380C71" w:rsidRPr="00F418D1" w:rsidRDefault="00380C71" w:rsidP="00BF5954">
      <w:pPr>
        <w:numPr>
          <w:ilvl w:val="1"/>
          <w:numId w:val="2"/>
        </w:numPr>
        <w:jc w:val="both"/>
        <w:rPr>
          <w:rFonts w:ascii="Arial" w:hAnsi="Arial" w:cs="Arial"/>
          <w:i/>
          <w:sz w:val="20"/>
        </w:rPr>
      </w:pPr>
      <w:r w:rsidRPr="00F418D1">
        <w:rPr>
          <w:rFonts w:ascii="Arial" w:hAnsi="Arial" w:cs="Arial"/>
          <w:i/>
          <w:sz w:val="20"/>
        </w:rPr>
        <w:t xml:space="preserve">Energy Security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Innovative energy solutions for the military; battlefield energy solutions; renewable energy solutions with military applications;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Energy infrastructure security;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Maritime aspects of energy security;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Technological aspects of energy security.</w:t>
      </w:r>
    </w:p>
    <w:p w:rsidR="00380C71" w:rsidRPr="00F418D1" w:rsidRDefault="00380C71" w:rsidP="00BF5954">
      <w:pPr>
        <w:numPr>
          <w:ilvl w:val="1"/>
          <w:numId w:val="2"/>
        </w:numPr>
        <w:jc w:val="both"/>
        <w:rPr>
          <w:rFonts w:ascii="Arial" w:hAnsi="Arial" w:cs="Arial"/>
          <w:i/>
          <w:sz w:val="20"/>
        </w:rPr>
      </w:pPr>
      <w:r w:rsidRPr="00F418D1">
        <w:rPr>
          <w:rFonts w:ascii="Arial" w:hAnsi="Arial" w:cs="Arial"/>
          <w:i/>
          <w:sz w:val="20"/>
        </w:rPr>
        <w:t xml:space="preserve">Cyber Defence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Critical infrastructure protection, including sharing of best practices, capacity building and policies;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Support in developing cyber defence capabilities, including new technologies and support to the construction of information technology infrastructure;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Cyber defence situation awareness.</w:t>
      </w:r>
    </w:p>
    <w:p w:rsidR="00380C71" w:rsidRPr="00F418D1" w:rsidRDefault="00380C71" w:rsidP="00BF5954">
      <w:pPr>
        <w:numPr>
          <w:ilvl w:val="1"/>
          <w:numId w:val="2"/>
        </w:numPr>
        <w:jc w:val="both"/>
        <w:rPr>
          <w:rFonts w:ascii="Arial" w:hAnsi="Arial" w:cs="Arial"/>
          <w:i/>
          <w:sz w:val="20"/>
        </w:rPr>
      </w:pPr>
      <w:r w:rsidRPr="00F418D1">
        <w:rPr>
          <w:rFonts w:ascii="Arial" w:hAnsi="Arial" w:cs="Arial"/>
          <w:i/>
          <w:sz w:val="20"/>
        </w:rPr>
        <w:t xml:space="preserve">Defence against CBRN Agents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Methods and technology regarding the protection against, diagnosing effects, detection, decontamination, destruction, disposal and containment of CBRN agents;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Risk management and recovery strategies and technologies;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Medical countermeasures against CBRN agents. </w:t>
      </w:r>
    </w:p>
    <w:p w:rsidR="00380C71" w:rsidRPr="00F418D1" w:rsidRDefault="00380C71" w:rsidP="00BF5954">
      <w:pPr>
        <w:numPr>
          <w:ilvl w:val="1"/>
          <w:numId w:val="2"/>
        </w:numPr>
        <w:jc w:val="both"/>
        <w:rPr>
          <w:rFonts w:ascii="Arial" w:hAnsi="Arial" w:cs="Arial"/>
          <w:i/>
          <w:sz w:val="20"/>
        </w:rPr>
      </w:pPr>
      <w:r w:rsidRPr="00F418D1">
        <w:rPr>
          <w:rFonts w:ascii="Arial" w:hAnsi="Arial" w:cs="Arial"/>
          <w:i/>
          <w:sz w:val="20"/>
        </w:rPr>
        <w:t xml:space="preserve">Environmental Security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Security issues arising from key environmental and resource constraints, including health risks, climate change, water scarcity and increasing energy needs, which have the potential to significantly affect NATO’s planning and operations;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Disaster forecast and prevention of natural catastrophes;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Defence-related environmental issues. </w:t>
      </w:r>
    </w:p>
    <w:p w:rsidR="00380C71" w:rsidRPr="00F418D1" w:rsidRDefault="00380C71" w:rsidP="00BF5954">
      <w:pPr>
        <w:numPr>
          <w:ilvl w:val="0"/>
          <w:numId w:val="2"/>
        </w:numPr>
        <w:jc w:val="both"/>
        <w:rPr>
          <w:rFonts w:ascii="Arial" w:hAnsi="Arial" w:cs="Arial"/>
          <w:b/>
          <w:sz w:val="20"/>
        </w:rPr>
      </w:pPr>
      <w:r w:rsidRPr="00F418D1">
        <w:rPr>
          <w:rFonts w:ascii="Arial" w:hAnsi="Arial" w:cs="Arial"/>
          <w:b/>
          <w:sz w:val="20"/>
        </w:rPr>
        <w:t xml:space="preserve">Enhance support for NATO-led operations and missions </w:t>
      </w:r>
    </w:p>
    <w:p w:rsidR="00380C71" w:rsidRPr="00F418D1" w:rsidRDefault="00380C71" w:rsidP="00BF5954">
      <w:pPr>
        <w:numPr>
          <w:ilvl w:val="1"/>
          <w:numId w:val="2"/>
        </w:numPr>
        <w:jc w:val="both"/>
        <w:rPr>
          <w:rFonts w:ascii="Arial" w:hAnsi="Arial" w:cs="Arial"/>
          <w:sz w:val="20"/>
        </w:rPr>
      </w:pPr>
      <w:r w:rsidRPr="00F418D1">
        <w:rPr>
          <w:rFonts w:ascii="Arial" w:hAnsi="Arial" w:cs="Arial"/>
          <w:sz w:val="20"/>
        </w:rPr>
        <w:t xml:space="preserve">Provision of civilian support through SPS Key Priorities; </w:t>
      </w:r>
    </w:p>
    <w:p w:rsidR="00380C71" w:rsidRPr="00F418D1" w:rsidRDefault="00380C71" w:rsidP="00BF5954">
      <w:pPr>
        <w:numPr>
          <w:ilvl w:val="1"/>
          <w:numId w:val="2"/>
        </w:numPr>
        <w:jc w:val="both"/>
        <w:rPr>
          <w:rFonts w:ascii="Arial" w:hAnsi="Arial" w:cs="Arial"/>
          <w:sz w:val="20"/>
        </w:rPr>
      </w:pPr>
      <w:r w:rsidRPr="00F418D1">
        <w:rPr>
          <w:rFonts w:ascii="Arial" w:hAnsi="Arial" w:cs="Arial"/>
          <w:sz w:val="20"/>
        </w:rPr>
        <w:t xml:space="preserve">Provision of access to information through internet connectivity as in the SILK-Afghanistan Programme; </w:t>
      </w:r>
    </w:p>
    <w:p w:rsidR="00380C71" w:rsidRPr="00F418D1" w:rsidRDefault="00380C71" w:rsidP="00BF5954">
      <w:pPr>
        <w:numPr>
          <w:ilvl w:val="1"/>
          <w:numId w:val="2"/>
        </w:numPr>
        <w:jc w:val="both"/>
        <w:rPr>
          <w:rFonts w:ascii="Arial" w:hAnsi="Arial" w:cs="Arial"/>
          <w:sz w:val="20"/>
        </w:rPr>
      </w:pPr>
      <w:r w:rsidRPr="00F418D1">
        <w:rPr>
          <w:rFonts w:ascii="Arial" w:hAnsi="Arial" w:cs="Arial"/>
          <w:sz w:val="20"/>
        </w:rPr>
        <w:t xml:space="preserve">Cultural and social aspects in military operations and missions; </w:t>
      </w:r>
    </w:p>
    <w:p w:rsidR="00380C71" w:rsidRPr="00F418D1" w:rsidRDefault="00380C71" w:rsidP="00BF5954">
      <w:pPr>
        <w:numPr>
          <w:ilvl w:val="1"/>
          <w:numId w:val="2"/>
        </w:numPr>
        <w:jc w:val="both"/>
        <w:rPr>
          <w:rFonts w:ascii="Arial" w:hAnsi="Arial" w:cs="Arial"/>
          <w:sz w:val="20"/>
        </w:rPr>
      </w:pPr>
      <w:r w:rsidRPr="00F418D1">
        <w:rPr>
          <w:rFonts w:ascii="Arial" w:hAnsi="Arial" w:cs="Arial"/>
          <w:sz w:val="20"/>
        </w:rPr>
        <w:t>Enhancing cooperation with other international actors.</w:t>
      </w:r>
    </w:p>
    <w:p w:rsidR="00380C71" w:rsidRPr="00F418D1" w:rsidRDefault="00380C71" w:rsidP="00BF5954">
      <w:pPr>
        <w:numPr>
          <w:ilvl w:val="0"/>
          <w:numId w:val="2"/>
        </w:numPr>
        <w:jc w:val="both"/>
        <w:rPr>
          <w:rFonts w:ascii="Arial" w:hAnsi="Arial" w:cs="Arial"/>
          <w:b/>
          <w:sz w:val="20"/>
        </w:rPr>
      </w:pPr>
      <w:r w:rsidRPr="00F418D1">
        <w:rPr>
          <w:rFonts w:ascii="Arial" w:hAnsi="Arial" w:cs="Arial"/>
          <w:b/>
          <w:sz w:val="20"/>
        </w:rPr>
        <w:t xml:space="preserve">Enhance awareness on security developments including through early warning, with a view to preventing crises </w:t>
      </w:r>
    </w:p>
    <w:p w:rsidR="00380C71" w:rsidRPr="00F418D1" w:rsidRDefault="00380C71" w:rsidP="00BF5954">
      <w:pPr>
        <w:numPr>
          <w:ilvl w:val="1"/>
          <w:numId w:val="2"/>
        </w:numPr>
        <w:jc w:val="both"/>
        <w:rPr>
          <w:rFonts w:ascii="Arial" w:hAnsi="Arial" w:cs="Arial"/>
          <w:i/>
          <w:sz w:val="20"/>
        </w:rPr>
      </w:pPr>
      <w:r w:rsidRPr="00F418D1">
        <w:rPr>
          <w:rFonts w:ascii="Arial" w:hAnsi="Arial" w:cs="Arial"/>
          <w:i/>
          <w:sz w:val="20"/>
        </w:rPr>
        <w:t>Security-related Advanced Technology:</w:t>
      </w:r>
    </w:p>
    <w:p w:rsidR="00380C71" w:rsidRPr="00F418D1" w:rsidRDefault="00380C71" w:rsidP="00234914">
      <w:pPr>
        <w:ind w:left="720"/>
        <w:jc w:val="both"/>
        <w:rPr>
          <w:rFonts w:ascii="Arial" w:hAnsi="Arial" w:cs="Arial"/>
          <w:sz w:val="20"/>
        </w:rPr>
      </w:pPr>
      <w:r w:rsidRPr="00F418D1">
        <w:rPr>
          <w:rFonts w:ascii="Arial" w:hAnsi="Arial" w:cs="Arial"/>
          <w:sz w:val="20"/>
        </w:rPr>
        <w:t>Emerging technologies including nanotechnology, optical technology, micro satellites, metallurgy and the development of UAV platforms.</w:t>
      </w:r>
    </w:p>
    <w:p w:rsidR="00380C71" w:rsidRPr="00F418D1" w:rsidRDefault="00380C71" w:rsidP="00BF5954">
      <w:pPr>
        <w:numPr>
          <w:ilvl w:val="1"/>
          <w:numId w:val="2"/>
        </w:numPr>
        <w:jc w:val="both"/>
        <w:rPr>
          <w:rFonts w:ascii="Arial" w:hAnsi="Arial" w:cs="Arial"/>
          <w:i/>
          <w:sz w:val="20"/>
        </w:rPr>
      </w:pPr>
      <w:r w:rsidRPr="00F418D1">
        <w:rPr>
          <w:rFonts w:ascii="Arial" w:hAnsi="Arial" w:cs="Arial"/>
          <w:i/>
          <w:sz w:val="20"/>
        </w:rPr>
        <w:t xml:space="preserve">Border and Port Security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Border and port security technology;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Cross border communication systems and data fusion;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Expert advice and assessments of border security needs and best practice. </w:t>
      </w:r>
    </w:p>
    <w:p w:rsidR="00380C71" w:rsidRPr="00F418D1" w:rsidRDefault="00380C71" w:rsidP="00BF5954">
      <w:pPr>
        <w:numPr>
          <w:ilvl w:val="1"/>
          <w:numId w:val="2"/>
        </w:numPr>
        <w:jc w:val="both"/>
        <w:rPr>
          <w:rFonts w:ascii="Arial" w:hAnsi="Arial" w:cs="Arial"/>
          <w:i/>
          <w:sz w:val="20"/>
        </w:rPr>
      </w:pPr>
      <w:r w:rsidRPr="00F418D1">
        <w:rPr>
          <w:rFonts w:ascii="Arial" w:hAnsi="Arial" w:cs="Arial"/>
          <w:i/>
          <w:sz w:val="20"/>
        </w:rPr>
        <w:t xml:space="preserve">Mine and Unexploded Ordnance Detection and Clearance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 xml:space="preserve">Development and provision of advanced technologies, methodologies and best practice; </w:t>
      </w:r>
    </w:p>
    <w:p w:rsidR="00380C71" w:rsidRPr="00F418D1" w:rsidRDefault="00380C71" w:rsidP="00BF5954">
      <w:pPr>
        <w:numPr>
          <w:ilvl w:val="2"/>
          <w:numId w:val="2"/>
        </w:numPr>
        <w:jc w:val="both"/>
        <w:rPr>
          <w:rFonts w:ascii="Arial" w:hAnsi="Arial" w:cs="Arial"/>
          <w:sz w:val="20"/>
        </w:rPr>
      </w:pPr>
      <w:r w:rsidRPr="00F418D1">
        <w:rPr>
          <w:rFonts w:ascii="Arial" w:hAnsi="Arial" w:cs="Arial"/>
          <w:sz w:val="20"/>
        </w:rPr>
        <w:t>Solutions to counter improvised explosive devices (IED).</w:t>
      </w:r>
    </w:p>
    <w:p w:rsidR="00380C71" w:rsidRPr="00EC7EBB" w:rsidRDefault="00380C71" w:rsidP="00EC7EBB">
      <w:pPr>
        <w:numPr>
          <w:ilvl w:val="1"/>
          <w:numId w:val="2"/>
        </w:numPr>
        <w:jc w:val="both"/>
        <w:rPr>
          <w:rFonts w:ascii="Arial" w:hAnsi="Arial" w:cs="Arial"/>
          <w:sz w:val="20"/>
        </w:rPr>
      </w:pPr>
      <w:r w:rsidRPr="00EC7EBB">
        <w:rPr>
          <w:rFonts w:ascii="Arial" w:hAnsi="Arial" w:cs="Arial"/>
          <w:sz w:val="20"/>
        </w:rPr>
        <w:t xml:space="preserve">Human and Social Aspects of Security related to NATO’s strategic objectives </w:t>
      </w:r>
    </w:p>
    <w:p w:rsidR="00380C71" w:rsidRPr="002767B3" w:rsidRDefault="00380C71" w:rsidP="002767B3">
      <w:pPr>
        <w:numPr>
          <w:ilvl w:val="0"/>
          <w:numId w:val="2"/>
        </w:numPr>
        <w:jc w:val="both"/>
        <w:rPr>
          <w:rFonts w:ascii="Arial" w:hAnsi="Arial" w:cs="Arial"/>
          <w:b/>
          <w:sz w:val="20"/>
        </w:rPr>
      </w:pPr>
      <w:r w:rsidRPr="002767B3">
        <w:rPr>
          <w:rFonts w:ascii="Arial" w:hAnsi="Arial" w:cs="Arial"/>
          <w:b/>
          <w:sz w:val="20"/>
        </w:rPr>
        <w:t>Any project related clearly linked to a threat to security not otherwise defined in these priorities may also be considered for funding under the SPS Programme. Such proposals will be examined for links to NATO’s Strategic Objectives.</w:t>
      </w:r>
      <w:r w:rsidRPr="002767B3">
        <w:rPr>
          <w:rFonts w:ascii="Arial" w:hAnsi="Arial" w:cs="Arial"/>
          <w:b/>
          <w:sz w:val="20"/>
        </w:rPr>
        <w:br w:type="page"/>
      </w:r>
    </w:p>
    <w:tbl>
      <w:tblPr>
        <w:tblW w:w="0" w:type="auto"/>
        <w:tblInd w:w="108" w:type="dxa"/>
        <w:tblBorders>
          <w:bottom w:val="single" w:sz="4" w:space="0" w:color="auto"/>
        </w:tblBorders>
        <w:tblLayout w:type="fixed"/>
        <w:tblCellMar>
          <w:bottom w:w="142" w:type="dxa"/>
        </w:tblCellMar>
        <w:tblLook w:val="0000"/>
      </w:tblPr>
      <w:tblGrid>
        <w:gridCol w:w="993"/>
        <w:gridCol w:w="9355"/>
      </w:tblGrid>
      <w:tr w:rsidR="00380C71" w:rsidRPr="00F418D1">
        <w:trPr>
          <w:trHeight w:val="1881"/>
        </w:trPr>
        <w:tc>
          <w:tcPr>
            <w:tcW w:w="993" w:type="dxa"/>
            <w:tcBorders>
              <w:bottom w:val="single" w:sz="4" w:space="0" w:color="auto"/>
            </w:tcBorders>
            <w:vAlign w:val="center"/>
          </w:tcPr>
          <w:p w:rsidR="00380C71" w:rsidRPr="00F418D1" w:rsidRDefault="00380C71" w:rsidP="00A203DD">
            <w:pPr>
              <w:jc w:val="center"/>
              <w:rPr>
                <w:b/>
                <w:bCs/>
              </w:rPr>
            </w:pPr>
            <w:r>
              <w:rPr>
                <w:rFonts w:ascii="Arial" w:hAnsi="Arial" w:cs="Arial"/>
                <w:b/>
                <w:sz w:val="20"/>
              </w:rPr>
              <w:br w:type="page"/>
            </w:r>
            <w:bookmarkStart w:id="5" w:name="Annex3EligibleCountries"/>
            <w:bookmarkEnd w:id="5"/>
            <w:r w:rsidRPr="007F3784">
              <w:rPr>
                <w:b/>
                <w:noProof/>
                <w:lang w:val="en-US"/>
              </w:rPr>
              <w:pict>
                <v:shape id="Picture 3" o:spid="_x0000_i1027" type="#_x0000_t75" style="width:45pt;height:90.6pt;visibility:visible">
                  <v:imagedata r:id="rId7" o:title=""/>
                </v:shape>
              </w:pict>
            </w:r>
          </w:p>
        </w:tc>
        <w:tc>
          <w:tcPr>
            <w:tcW w:w="9355" w:type="dxa"/>
            <w:tcBorders>
              <w:bottom w:val="single" w:sz="4" w:space="0" w:color="auto"/>
            </w:tcBorders>
            <w:vAlign w:val="center"/>
          </w:tcPr>
          <w:p w:rsidR="00380C71" w:rsidRPr="00F418D1" w:rsidRDefault="00380C71" w:rsidP="00090D7A">
            <w:pPr>
              <w:spacing w:after="120"/>
              <w:jc w:val="center"/>
              <w:rPr>
                <w:b/>
                <w:bCs/>
                <w:color w:val="3487C8"/>
                <w:sz w:val="22"/>
                <w:szCs w:val="22"/>
              </w:rPr>
            </w:pPr>
            <w:r w:rsidRPr="00F418D1">
              <w:rPr>
                <w:b/>
                <w:bCs/>
                <w:color w:val="3487C8"/>
                <w:sz w:val="22"/>
                <w:szCs w:val="22"/>
              </w:rPr>
              <w:t>Emerging Security Challenges Division</w:t>
            </w:r>
          </w:p>
          <w:p w:rsidR="00380C71" w:rsidRPr="00F418D1" w:rsidRDefault="00380C71" w:rsidP="00090D7A">
            <w:pPr>
              <w:spacing w:after="200"/>
              <w:jc w:val="center"/>
              <w:rPr>
                <w:b/>
                <w:bCs/>
                <w:color w:val="3487C8"/>
                <w:sz w:val="28"/>
                <w:szCs w:val="28"/>
              </w:rPr>
            </w:pPr>
            <w:r w:rsidRPr="00F418D1">
              <w:rPr>
                <w:b/>
                <w:bCs/>
                <w:color w:val="3487C8"/>
                <w:sz w:val="28"/>
                <w:szCs w:val="28"/>
              </w:rPr>
              <w:t>Science for Peace and Security Programme</w:t>
            </w:r>
          </w:p>
          <w:p w:rsidR="00380C71" w:rsidRPr="00F418D1" w:rsidRDefault="00380C71" w:rsidP="00090D7A">
            <w:pPr>
              <w:spacing w:after="200"/>
              <w:jc w:val="center"/>
              <w:rPr>
                <w:rFonts w:ascii="Arial" w:hAnsi="Arial" w:cs="Arial"/>
                <w:b/>
                <w:bCs/>
                <w:color w:val="00408B"/>
                <w:sz w:val="28"/>
                <w:szCs w:val="28"/>
              </w:rPr>
            </w:pPr>
            <w:r w:rsidRPr="00F418D1">
              <w:rPr>
                <w:rFonts w:ascii="Arial" w:hAnsi="Arial" w:cs="Arial"/>
                <w:b/>
                <w:bCs/>
                <w:color w:val="00408B"/>
                <w:sz w:val="28"/>
                <w:szCs w:val="28"/>
              </w:rPr>
              <w:t>Guidelines for Applicants</w:t>
            </w:r>
            <w:r w:rsidRPr="00F418D1">
              <w:rPr>
                <w:rFonts w:ascii="Arial" w:hAnsi="Arial" w:cs="Arial"/>
                <w:b/>
                <w:bCs/>
                <w:color w:val="00408B"/>
                <w:sz w:val="28"/>
                <w:szCs w:val="28"/>
              </w:rPr>
              <w:br/>
              <w:t>ANNEX 2: Eligible Countries</w:t>
            </w:r>
          </w:p>
          <w:p w:rsidR="00380C71" w:rsidRPr="00F418D1" w:rsidRDefault="00380C71" w:rsidP="00090D7A">
            <w:pPr>
              <w:jc w:val="center"/>
              <w:rPr>
                <w:b/>
                <w:bCs/>
              </w:rPr>
            </w:pPr>
            <w:r w:rsidRPr="00F418D1">
              <w:rPr>
                <w:szCs w:val="18"/>
              </w:rPr>
              <w:t xml:space="preserve">NATO Emerging Security Challenges Division, SPS Programme, Bd. Léopold III, </w:t>
            </w:r>
            <w:r w:rsidRPr="00F418D1" w:rsidDel="00C17795">
              <w:rPr>
                <w:szCs w:val="18"/>
              </w:rPr>
              <w:t>B-</w:t>
            </w:r>
            <w:r w:rsidRPr="00F418D1">
              <w:rPr>
                <w:szCs w:val="18"/>
              </w:rPr>
              <w:t>1110 Brussels, Belgium</w:t>
            </w:r>
          </w:p>
        </w:tc>
      </w:tr>
    </w:tbl>
    <w:p w:rsidR="00380C71" w:rsidRPr="00F418D1" w:rsidRDefault="00380C71" w:rsidP="00B82A05">
      <w:pPr>
        <w:pStyle w:val="Heading1"/>
      </w:pPr>
      <w:r w:rsidRPr="00F418D1">
        <w:t>NATO Countries</w:t>
      </w:r>
      <w:bookmarkEnd w:id="1"/>
    </w:p>
    <w:p w:rsidR="00380C71" w:rsidRPr="00F418D1" w:rsidRDefault="00380C71" w:rsidP="0058543C">
      <w:pPr>
        <w:pStyle w:val="Body"/>
      </w:pPr>
      <w:r w:rsidRPr="00F418D1">
        <w:t xml:space="preserve">Albania, Belgium, Bulgaria, Canada, Croatia, Czech Republic, Denmark, Estonia, France, Germany, Greece, Hungary, Iceland, Italy, Latvia, Lithuania, Luxembourg, Netherlands, Norway, Poland, Portugal, Romania, Slovak Republic, Slovenia, Spain, </w:t>
      </w:r>
      <w:r>
        <w:t>T</w:t>
      </w:r>
      <w:r w:rsidRPr="00F418D1">
        <w:t>urkey, United Kingdom, United States</w:t>
      </w:r>
    </w:p>
    <w:p w:rsidR="00380C71" w:rsidRPr="00F418D1" w:rsidRDefault="00380C71" w:rsidP="00B82A05">
      <w:pPr>
        <w:pStyle w:val="Heading1"/>
      </w:pPr>
      <w:bookmarkStart w:id="6" w:name="_Toc326767648"/>
      <w:r w:rsidRPr="00F418D1">
        <w:t>Partner</w:t>
      </w:r>
      <w:bookmarkEnd w:id="6"/>
      <w:r>
        <w:t xml:space="preserve"> Countries</w:t>
      </w:r>
      <w:r w:rsidRPr="00F418D1">
        <w:tab/>
      </w:r>
      <w:r w:rsidRPr="00F418D1">
        <w:rPr>
          <w:rStyle w:val="Instructions"/>
          <w:szCs w:val="18"/>
        </w:rPr>
        <w:t>all are eligible to participate as Co-Directors, Experts, or Trainees</w:t>
      </w:r>
    </w:p>
    <w:p w:rsidR="00380C71" w:rsidRPr="00F418D1" w:rsidRDefault="00380C71" w:rsidP="00B82A05">
      <w:pPr>
        <w:pStyle w:val="Heading2"/>
      </w:pPr>
      <w:r w:rsidRPr="00F418D1">
        <w:t>Trainees eligible for up to 100% NATO subsidy</w:t>
      </w:r>
    </w:p>
    <w:p w:rsidR="00380C71" w:rsidRPr="00F418D1" w:rsidRDefault="00380C71" w:rsidP="0058543C">
      <w:pPr>
        <w:pStyle w:val="Body"/>
      </w:pPr>
      <w:r w:rsidRPr="00F418D1">
        <w:t>Afghanistan, Algeria, Armenia, Azerbaijan, Bosnia and Herzegovina, Egypt, Georgia, Iraq, Jordan, Kyrgyz Republic, Mauritania, Moldova, Mongolia, Morocco, Pakistan, Tajikistan, Tunisia, Turkmenistan, Ukraine, Uzbekistan.</w:t>
      </w:r>
    </w:p>
    <w:p w:rsidR="00380C71" w:rsidRPr="00F418D1" w:rsidRDefault="00380C71" w:rsidP="00BE68F3">
      <w:pPr>
        <w:pStyle w:val="Heading2"/>
      </w:pPr>
      <w:r w:rsidRPr="00F418D1">
        <w:t>Trainees eligible for up to 80% NATO subsidy</w:t>
      </w:r>
    </w:p>
    <w:p w:rsidR="00380C71" w:rsidRPr="00F418D1" w:rsidRDefault="00380C71" w:rsidP="0058543C">
      <w:pPr>
        <w:pStyle w:val="Body"/>
      </w:pPr>
      <w:r w:rsidRPr="00F418D1">
        <w:t>Belarus, Kazakhstan, Montenegro, Serbia, the former Yugoslav Republic of Macedonia</w:t>
      </w:r>
      <w:r w:rsidRPr="00F418D1">
        <w:rPr>
          <w:rStyle w:val="FootnoteReference"/>
          <w:rFonts w:cs="Arial"/>
        </w:rPr>
        <w:footnoteReference w:id="2"/>
      </w:r>
      <w:r w:rsidRPr="00F418D1">
        <w:t>,</w:t>
      </w:r>
    </w:p>
    <w:p w:rsidR="00380C71" w:rsidRPr="00F418D1" w:rsidRDefault="00380C71" w:rsidP="00BE68F3">
      <w:pPr>
        <w:pStyle w:val="Heading2"/>
      </w:pPr>
      <w:r w:rsidRPr="00F418D1">
        <w:t>Trainees not eligible for NATO subsidy</w:t>
      </w:r>
    </w:p>
    <w:p w:rsidR="00380C71" w:rsidRDefault="00380C71" w:rsidP="00BF5954">
      <w:pPr>
        <w:pStyle w:val="Body"/>
      </w:pPr>
      <w:r w:rsidRPr="00F418D1">
        <w:t>Australia, Austria, Bahrain, Finland, Ireland, Israel, Japan, Kuwait, Malta, New Zealand, Qatar, Republic of Korea, Russian Federation, Sweden, Switzerland, United Arab Emirates</w:t>
      </w:r>
    </w:p>
    <w:sectPr w:rsidR="00380C71" w:rsidSect="009A2BCD">
      <w:headerReference w:type="even" r:id="rId12"/>
      <w:headerReference w:type="default" r:id="rId13"/>
      <w:footerReference w:type="even" r:id="rId14"/>
      <w:footerReference w:type="default" r:id="rId15"/>
      <w:headerReference w:type="first" r:id="rId16"/>
      <w:footerReference w:type="first" r:id="rId17"/>
      <w:footnotePr>
        <w:numFmt w:val="chicago"/>
        <w:numRestart w:val="eachPage"/>
      </w:footnotePr>
      <w:pgSz w:w="12240" w:h="15840"/>
      <w:pgMar w:top="340" w:right="907" w:bottom="340" w:left="907" w:header="708" w:footer="708" w:gutter="0"/>
      <w:pgNumType w:start="1"/>
      <w:cols w:space="708"/>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0C71" w:rsidRDefault="00380C71">
      <w:r>
        <w:separator/>
      </w:r>
    </w:p>
  </w:endnote>
  <w:endnote w:type="continuationSeparator" w:id="0">
    <w:p w:rsidR="00380C71" w:rsidRDefault="00380C7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C71" w:rsidRDefault="00380C7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C71" w:rsidRDefault="00380C7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C71" w:rsidRDefault="00380C7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0C71" w:rsidRDefault="00380C71">
      <w:r>
        <w:separator/>
      </w:r>
    </w:p>
  </w:footnote>
  <w:footnote w:type="continuationSeparator" w:id="0">
    <w:p w:rsidR="00380C71" w:rsidRDefault="00380C71">
      <w:r>
        <w:continuationSeparator/>
      </w:r>
    </w:p>
  </w:footnote>
  <w:footnote w:id="1">
    <w:p w:rsidR="00380C71" w:rsidRDefault="00380C71" w:rsidP="00F418D1">
      <w:pPr>
        <w:pStyle w:val="FootnoteText"/>
      </w:pPr>
      <w:r w:rsidRPr="007A0CD3">
        <w:rPr>
          <w:rStyle w:val="FootnoteReference"/>
          <w:rFonts w:cs="Arial"/>
          <w:lang w:val="en-GB"/>
        </w:rPr>
        <w:footnoteRef/>
      </w:r>
      <w:r w:rsidRPr="007A0CD3">
        <w:rPr>
          <w:lang w:val="en-GB"/>
        </w:rPr>
        <w:t xml:space="preserve"> </w:t>
      </w:r>
      <w:r w:rsidRPr="00DF6C67">
        <w:rPr>
          <w:lang w:val="en-GB"/>
        </w:rPr>
        <w:t xml:space="preserve">Award payments can be withheld if it becomes known that irregularities have been committed during the organisation of the </w:t>
      </w:r>
      <w:r>
        <w:rPr>
          <w:lang w:val="en-GB"/>
        </w:rPr>
        <w:t>ATC</w:t>
      </w:r>
      <w:r w:rsidRPr="00DF6C67">
        <w:rPr>
          <w:lang w:val="en-GB"/>
        </w:rPr>
        <w:t>.</w:t>
      </w:r>
    </w:p>
  </w:footnote>
  <w:footnote w:id="2">
    <w:p w:rsidR="00380C71" w:rsidRDefault="00380C71" w:rsidP="00BE68F3">
      <w:pPr>
        <w:pStyle w:val="FootnoteText"/>
      </w:pPr>
      <w:r w:rsidRPr="00ED3C77">
        <w:rPr>
          <w:rStyle w:val="FootnoteReference"/>
          <w:rFonts w:cs="Arial"/>
          <w:sz w:val="18"/>
          <w:szCs w:val="18"/>
          <w:lang w:val="en-GB"/>
        </w:rPr>
        <w:footnoteRef/>
      </w:r>
      <w:r w:rsidRPr="00ED3C77">
        <w:rPr>
          <w:sz w:val="18"/>
          <w:szCs w:val="18"/>
          <w:lang w:val="en-GB"/>
        </w:rPr>
        <w:t xml:space="preserve"> Turkey recognises the Republic of Macedonia with its constitutional name.</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C71" w:rsidRDefault="00380C7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C71" w:rsidRPr="00330458" w:rsidRDefault="00380C71" w:rsidP="00330458">
    <w:pPr>
      <w:pStyle w:val="Header"/>
      <w:tabs>
        <w:tab w:val="clear" w:pos="4320"/>
        <w:tab w:val="clear" w:pos="8640"/>
        <w:tab w:val="center" w:pos="5208"/>
        <w:tab w:val="right" w:pos="9214"/>
        <w:tab w:val="right" w:pos="10348"/>
      </w:tabs>
      <w:spacing w:after="120"/>
      <w:rPr>
        <w:rStyle w:val="Instructions"/>
        <w:rFonts w:ascii="Arial" w:hAnsi="Arial" w:cs="Arial"/>
        <w:color w:val="FF6600"/>
        <w:szCs w:val="18"/>
      </w:rPr>
    </w:pPr>
    <w:r>
      <w:rPr>
        <w:rStyle w:val="Instructions"/>
        <w:rFonts w:ascii="Arial" w:hAnsi="Arial" w:cs="Arial"/>
        <w:szCs w:val="18"/>
      </w:rPr>
      <w:t>Title, Co-Directors</w:t>
    </w:r>
    <w:r w:rsidRPr="004E3850">
      <w:rPr>
        <w:rStyle w:val="Instructions"/>
        <w:rFonts w:ascii="Arial" w:hAnsi="Arial" w:cs="Arial"/>
        <w:szCs w:val="18"/>
      </w:rPr>
      <w:tab/>
    </w:r>
    <w:r w:rsidRPr="000C359A">
      <w:rPr>
        <w:rFonts w:ascii="Arial" w:hAnsi="Arial" w:cs="Arial"/>
        <w:b/>
        <w:color w:val="FF6600"/>
        <w:szCs w:val="18"/>
      </w:rPr>
      <w:t>ATC application</w:t>
    </w:r>
    <w:r w:rsidRPr="004E3850">
      <w:rPr>
        <w:rStyle w:val="Instructions"/>
        <w:rFonts w:ascii="Arial" w:hAnsi="Arial" w:cs="Arial"/>
        <w:szCs w:val="18"/>
      </w:rPr>
      <w:tab/>
    </w:r>
    <w:r>
      <w:rPr>
        <w:rFonts w:ascii="Arial" w:hAnsi="Arial" w:cs="Arial"/>
        <w:b/>
        <w:color w:val="6DABD9"/>
        <w:szCs w:val="18"/>
      </w:rPr>
      <w:t>NATO Internal Use:</w:t>
    </w:r>
    <w:r>
      <w:rPr>
        <w:rFonts w:ascii="Arial" w:hAnsi="Arial" w:cs="Arial"/>
        <w:b/>
        <w:color w:val="6DABD9"/>
        <w:szCs w:val="18"/>
      </w:rP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0C71" w:rsidRDefault="00380C7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AF7C0E"/>
    <w:multiLevelType w:val="hybridMultilevel"/>
    <w:tmpl w:val="44E0C396"/>
    <w:lvl w:ilvl="0" w:tplc="C034FF34">
      <w:start w:val="1"/>
      <w:numFmt w:val="bulle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1B261E1"/>
    <w:multiLevelType w:val="multilevel"/>
    <w:tmpl w:val="04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
    <w:nsid w:val="54AB5B48"/>
    <w:multiLevelType w:val="hybridMultilevel"/>
    <w:tmpl w:val="0EE842FE"/>
    <w:lvl w:ilvl="0" w:tplc="5DD2D3A8">
      <w:start w:val="1"/>
      <w:numFmt w:val="bullet"/>
      <w:pStyle w:val="BulletList"/>
      <w:lvlText w:val=""/>
      <w:lvlJc w:val="left"/>
      <w:pPr>
        <w:tabs>
          <w:tab w:val="num" w:pos="720"/>
        </w:tabs>
        <w:ind w:left="720" w:hanging="360"/>
      </w:pPr>
      <w:rPr>
        <w:rFonts w:ascii="Symbol" w:hAnsi="Symbol"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73280DA3"/>
    <w:multiLevelType w:val="hybridMultilevel"/>
    <w:tmpl w:val="D5884DB2"/>
    <w:lvl w:ilvl="0" w:tplc="BC6AAE7E">
      <w:start w:val="1"/>
      <w:numFmt w:val="decimal"/>
      <w:lvlText w:val="Annex %1: "/>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1"/>
  </w:num>
  <w:num w:numId="3">
    <w:abstractNumId w:val="3"/>
  </w:num>
  <w:num w:numId="4">
    <w:abstractNumId w:val="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removePersonalInformation/>
  <w:embedSystemFonts/>
  <w:stylePaneFormatFilter w:val="30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footnotePr>
    <w:numFmt w:val="chicago"/>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IPSpeechSession$" w:val="FALSE"/>
    <w:docVar w:name="IPSpeechSessionSaved$" w:val="FALSE"/>
  </w:docVars>
  <w:rsids>
    <w:rsidRoot w:val="0065281B"/>
    <w:rsid w:val="000008F8"/>
    <w:rsid w:val="000023DD"/>
    <w:rsid w:val="00003ED3"/>
    <w:rsid w:val="00007056"/>
    <w:rsid w:val="000120B1"/>
    <w:rsid w:val="00013244"/>
    <w:rsid w:val="000170E1"/>
    <w:rsid w:val="0002231D"/>
    <w:rsid w:val="0002314E"/>
    <w:rsid w:val="00031147"/>
    <w:rsid w:val="00031E75"/>
    <w:rsid w:val="000327F1"/>
    <w:rsid w:val="00036812"/>
    <w:rsid w:val="00036889"/>
    <w:rsid w:val="00041523"/>
    <w:rsid w:val="000418B7"/>
    <w:rsid w:val="000448C7"/>
    <w:rsid w:val="00045553"/>
    <w:rsid w:val="00052032"/>
    <w:rsid w:val="000543E5"/>
    <w:rsid w:val="00060580"/>
    <w:rsid w:val="00060677"/>
    <w:rsid w:val="00061753"/>
    <w:rsid w:val="00062DD1"/>
    <w:rsid w:val="00065BE8"/>
    <w:rsid w:val="000662ED"/>
    <w:rsid w:val="00067D35"/>
    <w:rsid w:val="00077616"/>
    <w:rsid w:val="00077890"/>
    <w:rsid w:val="00080477"/>
    <w:rsid w:val="00084F7E"/>
    <w:rsid w:val="00087C24"/>
    <w:rsid w:val="00090D7A"/>
    <w:rsid w:val="00091ACD"/>
    <w:rsid w:val="00093749"/>
    <w:rsid w:val="000956E6"/>
    <w:rsid w:val="00096E7A"/>
    <w:rsid w:val="000A0337"/>
    <w:rsid w:val="000A1936"/>
    <w:rsid w:val="000A1E6E"/>
    <w:rsid w:val="000A557F"/>
    <w:rsid w:val="000A5DB2"/>
    <w:rsid w:val="000A765D"/>
    <w:rsid w:val="000B2CA0"/>
    <w:rsid w:val="000B44B4"/>
    <w:rsid w:val="000B4C9C"/>
    <w:rsid w:val="000C359A"/>
    <w:rsid w:val="000C4859"/>
    <w:rsid w:val="000C5B37"/>
    <w:rsid w:val="000C6317"/>
    <w:rsid w:val="000C637F"/>
    <w:rsid w:val="000C6EB4"/>
    <w:rsid w:val="000D422D"/>
    <w:rsid w:val="000E384C"/>
    <w:rsid w:val="000F1785"/>
    <w:rsid w:val="000F3B50"/>
    <w:rsid w:val="000F45D8"/>
    <w:rsid w:val="0010028C"/>
    <w:rsid w:val="0010054E"/>
    <w:rsid w:val="00100BF0"/>
    <w:rsid w:val="001040AD"/>
    <w:rsid w:val="00105E46"/>
    <w:rsid w:val="0010667A"/>
    <w:rsid w:val="001131B2"/>
    <w:rsid w:val="00114082"/>
    <w:rsid w:val="0011710D"/>
    <w:rsid w:val="001211BF"/>
    <w:rsid w:val="0012171D"/>
    <w:rsid w:val="001256C6"/>
    <w:rsid w:val="001260B4"/>
    <w:rsid w:val="00130154"/>
    <w:rsid w:val="0013699F"/>
    <w:rsid w:val="00141BBE"/>
    <w:rsid w:val="00147958"/>
    <w:rsid w:val="00151315"/>
    <w:rsid w:val="0016384F"/>
    <w:rsid w:val="00171CC4"/>
    <w:rsid w:val="00187EDF"/>
    <w:rsid w:val="00190529"/>
    <w:rsid w:val="001A4B39"/>
    <w:rsid w:val="001B00A9"/>
    <w:rsid w:val="001B0AE2"/>
    <w:rsid w:val="001C3A76"/>
    <w:rsid w:val="001C681B"/>
    <w:rsid w:val="001D053B"/>
    <w:rsid w:val="001D204F"/>
    <w:rsid w:val="001D218C"/>
    <w:rsid w:val="001D3D23"/>
    <w:rsid w:val="001D5493"/>
    <w:rsid w:val="001D7800"/>
    <w:rsid w:val="001E2F7F"/>
    <w:rsid w:val="001E6C71"/>
    <w:rsid w:val="002029C4"/>
    <w:rsid w:val="002107CB"/>
    <w:rsid w:val="00210EF9"/>
    <w:rsid w:val="002120D9"/>
    <w:rsid w:val="00213852"/>
    <w:rsid w:val="00215D1D"/>
    <w:rsid w:val="002166F2"/>
    <w:rsid w:val="00217F52"/>
    <w:rsid w:val="00227AC0"/>
    <w:rsid w:val="0023155D"/>
    <w:rsid w:val="0023427D"/>
    <w:rsid w:val="00234914"/>
    <w:rsid w:val="002419A8"/>
    <w:rsid w:val="00243326"/>
    <w:rsid w:val="00247CD3"/>
    <w:rsid w:val="002535BF"/>
    <w:rsid w:val="00256EB8"/>
    <w:rsid w:val="002635D6"/>
    <w:rsid w:val="00264875"/>
    <w:rsid w:val="0026574B"/>
    <w:rsid w:val="00266DE9"/>
    <w:rsid w:val="00270D8F"/>
    <w:rsid w:val="00273D61"/>
    <w:rsid w:val="00275B52"/>
    <w:rsid w:val="0027635A"/>
    <w:rsid w:val="002767B3"/>
    <w:rsid w:val="002812DC"/>
    <w:rsid w:val="0028200D"/>
    <w:rsid w:val="002824F3"/>
    <w:rsid w:val="00290A55"/>
    <w:rsid w:val="00291CDE"/>
    <w:rsid w:val="00294FCC"/>
    <w:rsid w:val="00297CE7"/>
    <w:rsid w:val="00297D4D"/>
    <w:rsid w:val="002A015D"/>
    <w:rsid w:val="002A2622"/>
    <w:rsid w:val="002A3904"/>
    <w:rsid w:val="002A5A97"/>
    <w:rsid w:val="002B0084"/>
    <w:rsid w:val="002B102C"/>
    <w:rsid w:val="002B10AD"/>
    <w:rsid w:val="002B208F"/>
    <w:rsid w:val="002B75F1"/>
    <w:rsid w:val="002C4BD1"/>
    <w:rsid w:val="002C634C"/>
    <w:rsid w:val="002D09D8"/>
    <w:rsid w:val="002D1DCD"/>
    <w:rsid w:val="002E10B0"/>
    <w:rsid w:val="002E15B8"/>
    <w:rsid w:val="002E2841"/>
    <w:rsid w:val="002E3DF2"/>
    <w:rsid w:val="002F5B07"/>
    <w:rsid w:val="003002B1"/>
    <w:rsid w:val="00301EE3"/>
    <w:rsid w:val="00306E1A"/>
    <w:rsid w:val="00311667"/>
    <w:rsid w:val="00321B29"/>
    <w:rsid w:val="00323B8A"/>
    <w:rsid w:val="00323F29"/>
    <w:rsid w:val="00327597"/>
    <w:rsid w:val="003279BB"/>
    <w:rsid w:val="00330458"/>
    <w:rsid w:val="0033182F"/>
    <w:rsid w:val="003370FE"/>
    <w:rsid w:val="0034036E"/>
    <w:rsid w:val="00340AA9"/>
    <w:rsid w:val="00341BD2"/>
    <w:rsid w:val="00355477"/>
    <w:rsid w:val="003572EA"/>
    <w:rsid w:val="00360ABC"/>
    <w:rsid w:val="00360DAA"/>
    <w:rsid w:val="003628F6"/>
    <w:rsid w:val="0037305A"/>
    <w:rsid w:val="003752DD"/>
    <w:rsid w:val="00375D16"/>
    <w:rsid w:val="00380C71"/>
    <w:rsid w:val="00381967"/>
    <w:rsid w:val="00381F72"/>
    <w:rsid w:val="003825E2"/>
    <w:rsid w:val="00382A44"/>
    <w:rsid w:val="0038437E"/>
    <w:rsid w:val="00387C72"/>
    <w:rsid w:val="00387FC6"/>
    <w:rsid w:val="00387FF4"/>
    <w:rsid w:val="00390D35"/>
    <w:rsid w:val="0039404D"/>
    <w:rsid w:val="003A4D2C"/>
    <w:rsid w:val="003A4DB9"/>
    <w:rsid w:val="003A5C42"/>
    <w:rsid w:val="003B058A"/>
    <w:rsid w:val="003B7AF5"/>
    <w:rsid w:val="003C2685"/>
    <w:rsid w:val="003D033D"/>
    <w:rsid w:val="003D1ACC"/>
    <w:rsid w:val="003D25F6"/>
    <w:rsid w:val="003D32FC"/>
    <w:rsid w:val="003D6940"/>
    <w:rsid w:val="003D74F6"/>
    <w:rsid w:val="003E43EB"/>
    <w:rsid w:val="003E691C"/>
    <w:rsid w:val="00402B9D"/>
    <w:rsid w:val="00404303"/>
    <w:rsid w:val="004050ED"/>
    <w:rsid w:val="00413A8A"/>
    <w:rsid w:val="004247B0"/>
    <w:rsid w:val="00425834"/>
    <w:rsid w:val="00425C84"/>
    <w:rsid w:val="004267B4"/>
    <w:rsid w:val="00430320"/>
    <w:rsid w:val="004319DE"/>
    <w:rsid w:val="00436E03"/>
    <w:rsid w:val="00437F88"/>
    <w:rsid w:val="00441C90"/>
    <w:rsid w:val="00441D6D"/>
    <w:rsid w:val="00442CF6"/>
    <w:rsid w:val="0044719A"/>
    <w:rsid w:val="004540B7"/>
    <w:rsid w:val="0045471F"/>
    <w:rsid w:val="00457F79"/>
    <w:rsid w:val="00463D7D"/>
    <w:rsid w:val="004719C1"/>
    <w:rsid w:val="00481982"/>
    <w:rsid w:val="004827CC"/>
    <w:rsid w:val="0048296E"/>
    <w:rsid w:val="0049025F"/>
    <w:rsid w:val="00490E0F"/>
    <w:rsid w:val="004A1E84"/>
    <w:rsid w:val="004B4EE4"/>
    <w:rsid w:val="004B675C"/>
    <w:rsid w:val="004C0734"/>
    <w:rsid w:val="004C1B1C"/>
    <w:rsid w:val="004C3106"/>
    <w:rsid w:val="004C352A"/>
    <w:rsid w:val="004C7B6D"/>
    <w:rsid w:val="004D2246"/>
    <w:rsid w:val="004E3850"/>
    <w:rsid w:val="004E4E50"/>
    <w:rsid w:val="004E5520"/>
    <w:rsid w:val="004F5173"/>
    <w:rsid w:val="004F52AC"/>
    <w:rsid w:val="00500649"/>
    <w:rsid w:val="005044EE"/>
    <w:rsid w:val="005126FA"/>
    <w:rsid w:val="005127C6"/>
    <w:rsid w:val="00516A21"/>
    <w:rsid w:val="005172D3"/>
    <w:rsid w:val="00523CBA"/>
    <w:rsid w:val="0052481E"/>
    <w:rsid w:val="00532532"/>
    <w:rsid w:val="0053752C"/>
    <w:rsid w:val="00540EC3"/>
    <w:rsid w:val="00542DCB"/>
    <w:rsid w:val="00552F7D"/>
    <w:rsid w:val="00554496"/>
    <w:rsid w:val="00562458"/>
    <w:rsid w:val="005639E6"/>
    <w:rsid w:val="005646DA"/>
    <w:rsid w:val="00566BEB"/>
    <w:rsid w:val="00571145"/>
    <w:rsid w:val="005729AA"/>
    <w:rsid w:val="00575D2D"/>
    <w:rsid w:val="00580F05"/>
    <w:rsid w:val="005811BB"/>
    <w:rsid w:val="005815AA"/>
    <w:rsid w:val="005822AE"/>
    <w:rsid w:val="0058543C"/>
    <w:rsid w:val="00591B51"/>
    <w:rsid w:val="00592271"/>
    <w:rsid w:val="00593E0C"/>
    <w:rsid w:val="00595B3F"/>
    <w:rsid w:val="0059683F"/>
    <w:rsid w:val="005B0F23"/>
    <w:rsid w:val="005B1C26"/>
    <w:rsid w:val="005C0B4D"/>
    <w:rsid w:val="005C3256"/>
    <w:rsid w:val="005C45A7"/>
    <w:rsid w:val="005C6712"/>
    <w:rsid w:val="005C67BA"/>
    <w:rsid w:val="005C748A"/>
    <w:rsid w:val="005D1680"/>
    <w:rsid w:val="005D6CC9"/>
    <w:rsid w:val="005D7886"/>
    <w:rsid w:val="005E13FC"/>
    <w:rsid w:val="005E166F"/>
    <w:rsid w:val="005E22D1"/>
    <w:rsid w:val="005E34F7"/>
    <w:rsid w:val="005E50E5"/>
    <w:rsid w:val="005E5EF6"/>
    <w:rsid w:val="005F008F"/>
    <w:rsid w:val="0060017D"/>
    <w:rsid w:val="0060522A"/>
    <w:rsid w:val="00607F0A"/>
    <w:rsid w:val="006213BC"/>
    <w:rsid w:val="006306B4"/>
    <w:rsid w:val="00631170"/>
    <w:rsid w:val="00632C42"/>
    <w:rsid w:val="00640ADA"/>
    <w:rsid w:val="00643669"/>
    <w:rsid w:val="00644C2E"/>
    <w:rsid w:val="00647C40"/>
    <w:rsid w:val="0065281B"/>
    <w:rsid w:val="00652D75"/>
    <w:rsid w:val="00653E28"/>
    <w:rsid w:val="00666BDE"/>
    <w:rsid w:val="006740E2"/>
    <w:rsid w:val="00677FAD"/>
    <w:rsid w:val="00683278"/>
    <w:rsid w:val="006B1CB2"/>
    <w:rsid w:val="006B4EDE"/>
    <w:rsid w:val="006B5492"/>
    <w:rsid w:val="006B6311"/>
    <w:rsid w:val="006B6F49"/>
    <w:rsid w:val="006B7646"/>
    <w:rsid w:val="006C024D"/>
    <w:rsid w:val="006C060B"/>
    <w:rsid w:val="006C0A92"/>
    <w:rsid w:val="006D78EB"/>
    <w:rsid w:val="006E3ED4"/>
    <w:rsid w:val="006F4E69"/>
    <w:rsid w:val="006F52EE"/>
    <w:rsid w:val="006F6B6C"/>
    <w:rsid w:val="006F7A9C"/>
    <w:rsid w:val="0070062D"/>
    <w:rsid w:val="0071240C"/>
    <w:rsid w:val="00720D5F"/>
    <w:rsid w:val="00722260"/>
    <w:rsid w:val="007249F1"/>
    <w:rsid w:val="00724B10"/>
    <w:rsid w:val="00731F8F"/>
    <w:rsid w:val="00735B61"/>
    <w:rsid w:val="00737A29"/>
    <w:rsid w:val="00743A2C"/>
    <w:rsid w:val="00744D77"/>
    <w:rsid w:val="00750B0B"/>
    <w:rsid w:val="00751084"/>
    <w:rsid w:val="00751F7E"/>
    <w:rsid w:val="00753E82"/>
    <w:rsid w:val="00756002"/>
    <w:rsid w:val="00773324"/>
    <w:rsid w:val="00775813"/>
    <w:rsid w:val="007768E9"/>
    <w:rsid w:val="0077721E"/>
    <w:rsid w:val="00780BD7"/>
    <w:rsid w:val="00787956"/>
    <w:rsid w:val="00793F0F"/>
    <w:rsid w:val="007946EC"/>
    <w:rsid w:val="007A0CD3"/>
    <w:rsid w:val="007A2BFC"/>
    <w:rsid w:val="007B1E5B"/>
    <w:rsid w:val="007B3917"/>
    <w:rsid w:val="007B3C6F"/>
    <w:rsid w:val="007B6156"/>
    <w:rsid w:val="007B6D76"/>
    <w:rsid w:val="007B6E23"/>
    <w:rsid w:val="007C158A"/>
    <w:rsid w:val="007C1A1E"/>
    <w:rsid w:val="007C1BE9"/>
    <w:rsid w:val="007C3149"/>
    <w:rsid w:val="007C4503"/>
    <w:rsid w:val="007C4DA2"/>
    <w:rsid w:val="007C5157"/>
    <w:rsid w:val="007C56CF"/>
    <w:rsid w:val="007C6720"/>
    <w:rsid w:val="007C6AEB"/>
    <w:rsid w:val="007D4D00"/>
    <w:rsid w:val="007D6EEC"/>
    <w:rsid w:val="007E4B8F"/>
    <w:rsid w:val="007E5AD4"/>
    <w:rsid w:val="007E5B86"/>
    <w:rsid w:val="007F10F0"/>
    <w:rsid w:val="007F1C5A"/>
    <w:rsid w:val="007F2689"/>
    <w:rsid w:val="007F3784"/>
    <w:rsid w:val="007F4776"/>
    <w:rsid w:val="007F718B"/>
    <w:rsid w:val="00801968"/>
    <w:rsid w:val="00803E52"/>
    <w:rsid w:val="008058EF"/>
    <w:rsid w:val="008061C4"/>
    <w:rsid w:val="008127E0"/>
    <w:rsid w:val="00812CE3"/>
    <w:rsid w:val="008169B1"/>
    <w:rsid w:val="00820480"/>
    <w:rsid w:val="008207C6"/>
    <w:rsid w:val="008273C9"/>
    <w:rsid w:val="00827F1D"/>
    <w:rsid w:val="008340FD"/>
    <w:rsid w:val="00843EAD"/>
    <w:rsid w:val="00855958"/>
    <w:rsid w:val="00860881"/>
    <w:rsid w:val="0086286D"/>
    <w:rsid w:val="008631D5"/>
    <w:rsid w:val="00864B2F"/>
    <w:rsid w:val="00867361"/>
    <w:rsid w:val="00867511"/>
    <w:rsid w:val="00870339"/>
    <w:rsid w:val="008734B0"/>
    <w:rsid w:val="00880A25"/>
    <w:rsid w:val="0088327D"/>
    <w:rsid w:val="00886FDD"/>
    <w:rsid w:val="008A0E43"/>
    <w:rsid w:val="008A2F07"/>
    <w:rsid w:val="008B055C"/>
    <w:rsid w:val="008B3747"/>
    <w:rsid w:val="008C60D0"/>
    <w:rsid w:val="008D7A91"/>
    <w:rsid w:val="008E32AD"/>
    <w:rsid w:val="008E4F99"/>
    <w:rsid w:val="008E68BA"/>
    <w:rsid w:val="008F1098"/>
    <w:rsid w:val="008F3E6E"/>
    <w:rsid w:val="008F4D73"/>
    <w:rsid w:val="0090066A"/>
    <w:rsid w:val="00900CE3"/>
    <w:rsid w:val="00911059"/>
    <w:rsid w:val="0091218E"/>
    <w:rsid w:val="00912A20"/>
    <w:rsid w:val="0091651F"/>
    <w:rsid w:val="0091778E"/>
    <w:rsid w:val="00917B9E"/>
    <w:rsid w:val="00922727"/>
    <w:rsid w:val="00923FC5"/>
    <w:rsid w:val="00926D68"/>
    <w:rsid w:val="00935C7E"/>
    <w:rsid w:val="009424BE"/>
    <w:rsid w:val="009457D2"/>
    <w:rsid w:val="009472A1"/>
    <w:rsid w:val="0095081D"/>
    <w:rsid w:val="00952AEA"/>
    <w:rsid w:val="00952B70"/>
    <w:rsid w:val="0095391D"/>
    <w:rsid w:val="009543F7"/>
    <w:rsid w:val="0095527D"/>
    <w:rsid w:val="00955FFF"/>
    <w:rsid w:val="0095713F"/>
    <w:rsid w:val="00960957"/>
    <w:rsid w:val="0096125D"/>
    <w:rsid w:val="00962C7D"/>
    <w:rsid w:val="00963B53"/>
    <w:rsid w:val="009650CB"/>
    <w:rsid w:val="0096560F"/>
    <w:rsid w:val="00966470"/>
    <w:rsid w:val="00971760"/>
    <w:rsid w:val="0097281F"/>
    <w:rsid w:val="00981372"/>
    <w:rsid w:val="0099067B"/>
    <w:rsid w:val="00990FFB"/>
    <w:rsid w:val="00992DE7"/>
    <w:rsid w:val="00993D26"/>
    <w:rsid w:val="00994BB9"/>
    <w:rsid w:val="0099778D"/>
    <w:rsid w:val="009A2BCD"/>
    <w:rsid w:val="009A44F1"/>
    <w:rsid w:val="009A6AB7"/>
    <w:rsid w:val="009C16F2"/>
    <w:rsid w:val="009C74EC"/>
    <w:rsid w:val="009D25EC"/>
    <w:rsid w:val="009E0AC3"/>
    <w:rsid w:val="009E0E0F"/>
    <w:rsid w:val="009F0267"/>
    <w:rsid w:val="009F26D1"/>
    <w:rsid w:val="009F4CB1"/>
    <w:rsid w:val="00A02B1C"/>
    <w:rsid w:val="00A03C68"/>
    <w:rsid w:val="00A0427C"/>
    <w:rsid w:val="00A04672"/>
    <w:rsid w:val="00A07EE6"/>
    <w:rsid w:val="00A1152D"/>
    <w:rsid w:val="00A14652"/>
    <w:rsid w:val="00A15371"/>
    <w:rsid w:val="00A203DD"/>
    <w:rsid w:val="00A21B3E"/>
    <w:rsid w:val="00A3433F"/>
    <w:rsid w:val="00A43BF4"/>
    <w:rsid w:val="00A50303"/>
    <w:rsid w:val="00A56AFA"/>
    <w:rsid w:val="00A60A77"/>
    <w:rsid w:val="00A621E7"/>
    <w:rsid w:val="00A64438"/>
    <w:rsid w:val="00A662C2"/>
    <w:rsid w:val="00A67D78"/>
    <w:rsid w:val="00A72562"/>
    <w:rsid w:val="00A727DC"/>
    <w:rsid w:val="00A73A8B"/>
    <w:rsid w:val="00A77FF9"/>
    <w:rsid w:val="00A81CB9"/>
    <w:rsid w:val="00A906FC"/>
    <w:rsid w:val="00A93EBD"/>
    <w:rsid w:val="00AA69DB"/>
    <w:rsid w:val="00AA6E2B"/>
    <w:rsid w:val="00AB493B"/>
    <w:rsid w:val="00AC13E2"/>
    <w:rsid w:val="00AC2076"/>
    <w:rsid w:val="00AC5B14"/>
    <w:rsid w:val="00AD3C4C"/>
    <w:rsid w:val="00AD54EC"/>
    <w:rsid w:val="00AD5EB4"/>
    <w:rsid w:val="00AE4689"/>
    <w:rsid w:val="00AF2F3A"/>
    <w:rsid w:val="00AF3F0C"/>
    <w:rsid w:val="00AF7AC5"/>
    <w:rsid w:val="00B03E7B"/>
    <w:rsid w:val="00B0478E"/>
    <w:rsid w:val="00B207AA"/>
    <w:rsid w:val="00B2383D"/>
    <w:rsid w:val="00B23907"/>
    <w:rsid w:val="00B31408"/>
    <w:rsid w:val="00B34396"/>
    <w:rsid w:val="00B42762"/>
    <w:rsid w:val="00B4739D"/>
    <w:rsid w:val="00B520BB"/>
    <w:rsid w:val="00B579FC"/>
    <w:rsid w:val="00B60D1B"/>
    <w:rsid w:val="00B62169"/>
    <w:rsid w:val="00B635A5"/>
    <w:rsid w:val="00B64F3D"/>
    <w:rsid w:val="00B66AD7"/>
    <w:rsid w:val="00B7351B"/>
    <w:rsid w:val="00B76950"/>
    <w:rsid w:val="00B82A05"/>
    <w:rsid w:val="00B82B27"/>
    <w:rsid w:val="00B8767B"/>
    <w:rsid w:val="00B93E33"/>
    <w:rsid w:val="00B96F7D"/>
    <w:rsid w:val="00BA349A"/>
    <w:rsid w:val="00BB29D2"/>
    <w:rsid w:val="00BC1AA8"/>
    <w:rsid w:val="00BC3B95"/>
    <w:rsid w:val="00BC473F"/>
    <w:rsid w:val="00BD2A50"/>
    <w:rsid w:val="00BD50F2"/>
    <w:rsid w:val="00BD6B46"/>
    <w:rsid w:val="00BE1FBA"/>
    <w:rsid w:val="00BE2F1F"/>
    <w:rsid w:val="00BE68F3"/>
    <w:rsid w:val="00BF3B65"/>
    <w:rsid w:val="00BF5954"/>
    <w:rsid w:val="00BF7DA6"/>
    <w:rsid w:val="00C030B7"/>
    <w:rsid w:val="00C03F27"/>
    <w:rsid w:val="00C04D82"/>
    <w:rsid w:val="00C07E2D"/>
    <w:rsid w:val="00C112C4"/>
    <w:rsid w:val="00C120A6"/>
    <w:rsid w:val="00C12B75"/>
    <w:rsid w:val="00C17795"/>
    <w:rsid w:val="00C212BB"/>
    <w:rsid w:val="00C25FE7"/>
    <w:rsid w:val="00C31A37"/>
    <w:rsid w:val="00C3366D"/>
    <w:rsid w:val="00C351F8"/>
    <w:rsid w:val="00C40B10"/>
    <w:rsid w:val="00C426F1"/>
    <w:rsid w:val="00C43095"/>
    <w:rsid w:val="00C450B3"/>
    <w:rsid w:val="00C524FF"/>
    <w:rsid w:val="00C53AD0"/>
    <w:rsid w:val="00C53D93"/>
    <w:rsid w:val="00C55180"/>
    <w:rsid w:val="00C55BFF"/>
    <w:rsid w:val="00C624BA"/>
    <w:rsid w:val="00C62DC1"/>
    <w:rsid w:val="00C6669E"/>
    <w:rsid w:val="00C72182"/>
    <w:rsid w:val="00C7592F"/>
    <w:rsid w:val="00C75DC1"/>
    <w:rsid w:val="00C76528"/>
    <w:rsid w:val="00C76AB7"/>
    <w:rsid w:val="00C77764"/>
    <w:rsid w:val="00C81BC7"/>
    <w:rsid w:val="00C836F6"/>
    <w:rsid w:val="00C84084"/>
    <w:rsid w:val="00C901BA"/>
    <w:rsid w:val="00C93F59"/>
    <w:rsid w:val="00CC1700"/>
    <w:rsid w:val="00CC2EFB"/>
    <w:rsid w:val="00CC461F"/>
    <w:rsid w:val="00CD279B"/>
    <w:rsid w:val="00CD63EE"/>
    <w:rsid w:val="00CE6729"/>
    <w:rsid w:val="00CE6F4E"/>
    <w:rsid w:val="00CE72F9"/>
    <w:rsid w:val="00CE7F69"/>
    <w:rsid w:val="00CF49D0"/>
    <w:rsid w:val="00CF4EF7"/>
    <w:rsid w:val="00D03A65"/>
    <w:rsid w:val="00D0591B"/>
    <w:rsid w:val="00D076C9"/>
    <w:rsid w:val="00D13409"/>
    <w:rsid w:val="00D26D7E"/>
    <w:rsid w:val="00D3172B"/>
    <w:rsid w:val="00D32D4B"/>
    <w:rsid w:val="00D36C57"/>
    <w:rsid w:val="00D37DF8"/>
    <w:rsid w:val="00D448E3"/>
    <w:rsid w:val="00D51E97"/>
    <w:rsid w:val="00D523ED"/>
    <w:rsid w:val="00D530B6"/>
    <w:rsid w:val="00D5334E"/>
    <w:rsid w:val="00D54B7E"/>
    <w:rsid w:val="00D5500D"/>
    <w:rsid w:val="00D57248"/>
    <w:rsid w:val="00D60CA6"/>
    <w:rsid w:val="00D6707F"/>
    <w:rsid w:val="00D73B12"/>
    <w:rsid w:val="00D85189"/>
    <w:rsid w:val="00D93E4C"/>
    <w:rsid w:val="00D948DA"/>
    <w:rsid w:val="00D95EE7"/>
    <w:rsid w:val="00D975C1"/>
    <w:rsid w:val="00DA0952"/>
    <w:rsid w:val="00DA0C36"/>
    <w:rsid w:val="00DA357D"/>
    <w:rsid w:val="00DA50C4"/>
    <w:rsid w:val="00DA5712"/>
    <w:rsid w:val="00DA5EF8"/>
    <w:rsid w:val="00DA67C7"/>
    <w:rsid w:val="00DB585F"/>
    <w:rsid w:val="00DC253C"/>
    <w:rsid w:val="00DC3EF0"/>
    <w:rsid w:val="00DC4E6D"/>
    <w:rsid w:val="00DC5D5A"/>
    <w:rsid w:val="00DD386F"/>
    <w:rsid w:val="00DD526E"/>
    <w:rsid w:val="00DD5886"/>
    <w:rsid w:val="00DE588D"/>
    <w:rsid w:val="00DE6E77"/>
    <w:rsid w:val="00DF0E87"/>
    <w:rsid w:val="00DF4183"/>
    <w:rsid w:val="00DF484C"/>
    <w:rsid w:val="00DF6C67"/>
    <w:rsid w:val="00E02579"/>
    <w:rsid w:val="00E028D0"/>
    <w:rsid w:val="00E055D9"/>
    <w:rsid w:val="00E10B1F"/>
    <w:rsid w:val="00E112E9"/>
    <w:rsid w:val="00E222EC"/>
    <w:rsid w:val="00E24F0B"/>
    <w:rsid w:val="00E33755"/>
    <w:rsid w:val="00E35B3D"/>
    <w:rsid w:val="00E43D5A"/>
    <w:rsid w:val="00E43F86"/>
    <w:rsid w:val="00E46080"/>
    <w:rsid w:val="00E473D0"/>
    <w:rsid w:val="00E47F91"/>
    <w:rsid w:val="00E5072C"/>
    <w:rsid w:val="00E52976"/>
    <w:rsid w:val="00E56CC7"/>
    <w:rsid w:val="00E5774B"/>
    <w:rsid w:val="00E61B94"/>
    <w:rsid w:val="00E66428"/>
    <w:rsid w:val="00E66827"/>
    <w:rsid w:val="00E669FD"/>
    <w:rsid w:val="00E70BF4"/>
    <w:rsid w:val="00E71786"/>
    <w:rsid w:val="00E743FE"/>
    <w:rsid w:val="00E845C4"/>
    <w:rsid w:val="00E8685D"/>
    <w:rsid w:val="00E90118"/>
    <w:rsid w:val="00E94653"/>
    <w:rsid w:val="00E94D86"/>
    <w:rsid w:val="00EA0D0F"/>
    <w:rsid w:val="00EA2F8D"/>
    <w:rsid w:val="00EA378E"/>
    <w:rsid w:val="00EC400B"/>
    <w:rsid w:val="00EC4F71"/>
    <w:rsid w:val="00EC7EBB"/>
    <w:rsid w:val="00ED00F7"/>
    <w:rsid w:val="00ED0E4F"/>
    <w:rsid w:val="00ED2D91"/>
    <w:rsid w:val="00ED3C77"/>
    <w:rsid w:val="00ED7086"/>
    <w:rsid w:val="00EF2966"/>
    <w:rsid w:val="00EF57EA"/>
    <w:rsid w:val="00EF73C0"/>
    <w:rsid w:val="00F0070A"/>
    <w:rsid w:val="00F02141"/>
    <w:rsid w:val="00F07247"/>
    <w:rsid w:val="00F22AAB"/>
    <w:rsid w:val="00F267BD"/>
    <w:rsid w:val="00F322B0"/>
    <w:rsid w:val="00F3273B"/>
    <w:rsid w:val="00F32C22"/>
    <w:rsid w:val="00F3516D"/>
    <w:rsid w:val="00F3542A"/>
    <w:rsid w:val="00F36CEE"/>
    <w:rsid w:val="00F37CC0"/>
    <w:rsid w:val="00F40B42"/>
    <w:rsid w:val="00F418D1"/>
    <w:rsid w:val="00F470AD"/>
    <w:rsid w:val="00F47A7B"/>
    <w:rsid w:val="00F55E83"/>
    <w:rsid w:val="00F56AD5"/>
    <w:rsid w:val="00F60642"/>
    <w:rsid w:val="00F63D23"/>
    <w:rsid w:val="00F72BCE"/>
    <w:rsid w:val="00F73721"/>
    <w:rsid w:val="00F7433B"/>
    <w:rsid w:val="00F748ED"/>
    <w:rsid w:val="00F7576B"/>
    <w:rsid w:val="00F77BB9"/>
    <w:rsid w:val="00F84CD1"/>
    <w:rsid w:val="00F91ADD"/>
    <w:rsid w:val="00F91B28"/>
    <w:rsid w:val="00FA303C"/>
    <w:rsid w:val="00FA387C"/>
    <w:rsid w:val="00FA41BB"/>
    <w:rsid w:val="00FB0371"/>
    <w:rsid w:val="00FC0488"/>
    <w:rsid w:val="00FC065A"/>
    <w:rsid w:val="00FC307A"/>
    <w:rsid w:val="00FC3764"/>
    <w:rsid w:val="00FC62BE"/>
    <w:rsid w:val="00FD1FA0"/>
    <w:rsid w:val="00FD6916"/>
    <w:rsid w:val="00FF351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1ACD"/>
    <w:rPr>
      <w:sz w:val="18"/>
      <w:szCs w:val="20"/>
      <w:lang w:val="en-GB"/>
    </w:rPr>
  </w:style>
  <w:style w:type="paragraph" w:styleId="Heading1">
    <w:name w:val="heading 1"/>
    <w:basedOn w:val="BoxTitle"/>
    <w:next w:val="Normal"/>
    <w:link w:val="Heading1Char"/>
    <w:uiPriority w:val="99"/>
    <w:qFormat/>
    <w:rsid w:val="007E4B8F"/>
    <w:pPr>
      <w:keepNext/>
      <w:tabs>
        <w:tab w:val="clear" w:pos="10132"/>
        <w:tab w:val="right" w:pos="10348"/>
      </w:tabs>
      <w:spacing w:before="240" w:after="120"/>
      <w:outlineLvl w:val="0"/>
    </w:pPr>
    <w:rPr>
      <w:bCs/>
      <w:color w:val="00408B"/>
      <w:sz w:val="24"/>
      <w:szCs w:val="24"/>
    </w:rPr>
  </w:style>
  <w:style w:type="paragraph" w:styleId="Heading2">
    <w:name w:val="heading 2"/>
    <w:basedOn w:val="Normal"/>
    <w:next w:val="Normal"/>
    <w:link w:val="Heading2Char"/>
    <w:uiPriority w:val="99"/>
    <w:qFormat/>
    <w:rsid w:val="00952B70"/>
    <w:pPr>
      <w:keepNext/>
      <w:tabs>
        <w:tab w:val="left" w:pos="993"/>
      </w:tabs>
      <w:jc w:val="both"/>
      <w:outlineLvl w:val="1"/>
    </w:pPr>
    <w:rPr>
      <w:rFonts w:ascii="Arial" w:hAnsi="Arial" w:cs="Arial"/>
      <w:b/>
      <w:bCs/>
      <w:sz w:val="20"/>
    </w:rPr>
  </w:style>
  <w:style w:type="paragraph" w:styleId="Heading3">
    <w:name w:val="heading 3"/>
    <w:basedOn w:val="Normal"/>
    <w:next w:val="Normal"/>
    <w:link w:val="Heading3Char"/>
    <w:uiPriority w:val="99"/>
    <w:qFormat/>
    <w:rsid w:val="000956E6"/>
    <w:pPr>
      <w:keepNext/>
      <w:tabs>
        <w:tab w:val="left" w:pos="993"/>
      </w:tabs>
      <w:ind w:firstLine="720"/>
      <w:jc w:val="both"/>
      <w:outlineLvl w:val="2"/>
    </w:pPr>
    <w:rPr>
      <w:b/>
      <w:bCs/>
      <w:sz w:val="24"/>
      <w:szCs w:val="24"/>
    </w:rPr>
  </w:style>
  <w:style w:type="paragraph" w:styleId="Heading4">
    <w:name w:val="heading 4"/>
    <w:basedOn w:val="Normal"/>
    <w:next w:val="Normal"/>
    <w:link w:val="Heading4Char"/>
    <w:uiPriority w:val="99"/>
    <w:qFormat/>
    <w:rsid w:val="000956E6"/>
    <w:pPr>
      <w:keepNext/>
      <w:tabs>
        <w:tab w:val="center" w:pos="567"/>
      </w:tabs>
      <w:ind w:right="-1080"/>
      <w:outlineLvl w:val="3"/>
    </w:pPr>
    <w:rPr>
      <w:b/>
      <w:bCs/>
    </w:rPr>
  </w:style>
  <w:style w:type="paragraph" w:styleId="Heading5">
    <w:name w:val="heading 5"/>
    <w:basedOn w:val="Normal"/>
    <w:next w:val="Normal"/>
    <w:link w:val="Heading5Char"/>
    <w:uiPriority w:val="99"/>
    <w:qFormat/>
    <w:rsid w:val="000956E6"/>
    <w:pPr>
      <w:keepNext/>
      <w:outlineLvl w:val="4"/>
    </w:pPr>
    <w:rPr>
      <w:i/>
      <w:iCs/>
      <w:szCs w:val="18"/>
      <w:lang w:val="en-US"/>
    </w:rPr>
  </w:style>
  <w:style w:type="paragraph" w:styleId="Heading6">
    <w:name w:val="heading 6"/>
    <w:basedOn w:val="Normal"/>
    <w:next w:val="Normal"/>
    <w:link w:val="Heading6Char"/>
    <w:uiPriority w:val="99"/>
    <w:qFormat/>
    <w:rsid w:val="000956E6"/>
    <w:pPr>
      <w:keepNext/>
      <w:jc w:val="center"/>
      <w:outlineLvl w:val="5"/>
    </w:pPr>
    <w:rPr>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E4B8F"/>
    <w:rPr>
      <w:rFonts w:ascii="Arial" w:hAnsi="Arial" w:cs="Arial"/>
      <w:b/>
      <w:bCs/>
      <w:color w:val="00408B"/>
      <w:sz w:val="24"/>
      <w:szCs w:val="24"/>
      <w:lang w:val="en-GB" w:eastAsia="en-US" w:bidi="ar-SA"/>
    </w:rPr>
  </w:style>
  <w:style w:type="character" w:customStyle="1" w:styleId="Heading2Char">
    <w:name w:val="Heading 2 Char"/>
    <w:basedOn w:val="DefaultParagraphFont"/>
    <w:link w:val="Heading2"/>
    <w:uiPriority w:val="99"/>
    <w:semiHidden/>
    <w:locked/>
    <w:rsid w:val="00952B70"/>
    <w:rPr>
      <w:rFonts w:ascii="Arial" w:hAnsi="Arial" w:cs="Arial"/>
      <w:b/>
      <w:bCs/>
      <w:lang w:val="en-GB" w:eastAsia="en-US" w:bidi="ar-SA"/>
    </w:rPr>
  </w:style>
  <w:style w:type="character" w:customStyle="1" w:styleId="Heading3Char">
    <w:name w:val="Heading 3 Char"/>
    <w:basedOn w:val="DefaultParagraphFont"/>
    <w:link w:val="Heading3"/>
    <w:uiPriority w:val="99"/>
    <w:semiHidden/>
    <w:locked/>
    <w:rsid w:val="00FC62BE"/>
    <w:rPr>
      <w:rFonts w:ascii="Cambria" w:hAnsi="Cambria" w:cs="Cambria"/>
      <w:b/>
      <w:bCs/>
      <w:sz w:val="26"/>
      <w:szCs w:val="26"/>
      <w:lang w:val="en-GB"/>
    </w:rPr>
  </w:style>
  <w:style w:type="character" w:customStyle="1" w:styleId="Heading4Char">
    <w:name w:val="Heading 4 Char"/>
    <w:basedOn w:val="DefaultParagraphFont"/>
    <w:link w:val="Heading4"/>
    <w:uiPriority w:val="99"/>
    <w:semiHidden/>
    <w:locked/>
    <w:rsid w:val="00FC62BE"/>
    <w:rPr>
      <w:rFonts w:ascii="Calibri" w:hAnsi="Calibri" w:cs="Calibri"/>
      <w:b/>
      <w:bCs/>
      <w:sz w:val="28"/>
      <w:szCs w:val="28"/>
      <w:lang w:val="en-GB"/>
    </w:rPr>
  </w:style>
  <w:style w:type="character" w:customStyle="1" w:styleId="Heading5Char">
    <w:name w:val="Heading 5 Char"/>
    <w:basedOn w:val="DefaultParagraphFont"/>
    <w:link w:val="Heading5"/>
    <w:uiPriority w:val="99"/>
    <w:semiHidden/>
    <w:locked/>
    <w:rsid w:val="00FC62BE"/>
    <w:rPr>
      <w:rFonts w:ascii="Calibri" w:hAnsi="Calibri" w:cs="Calibri"/>
      <w:b/>
      <w:bCs/>
      <w:i/>
      <w:iCs/>
      <w:sz w:val="26"/>
      <w:szCs w:val="26"/>
      <w:lang w:val="en-GB"/>
    </w:rPr>
  </w:style>
  <w:style w:type="character" w:customStyle="1" w:styleId="Heading6Char">
    <w:name w:val="Heading 6 Char"/>
    <w:basedOn w:val="DefaultParagraphFont"/>
    <w:link w:val="Heading6"/>
    <w:uiPriority w:val="99"/>
    <w:semiHidden/>
    <w:locked/>
    <w:rsid w:val="00FC62BE"/>
    <w:rPr>
      <w:rFonts w:ascii="Calibri" w:hAnsi="Calibri" w:cs="Calibri"/>
      <w:b/>
      <w:bCs/>
      <w:sz w:val="22"/>
      <w:szCs w:val="22"/>
      <w:lang w:val="en-GB"/>
    </w:rPr>
  </w:style>
  <w:style w:type="character" w:styleId="Hyperlink">
    <w:name w:val="Hyperlink"/>
    <w:basedOn w:val="DefaultParagraphFont"/>
    <w:uiPriority w:val="99"/>
    <w:rsid w:val="00490E0F"/>
    <w:rPr>
      <w:rFonts w:cs="Times New Roman"/>
      <w:color w:val="0000FF"/>
      <w:u w:val="none"/>
    </w:rPr>
  </w:style>
  <w:style w:type="paragraph" w:styleId="Footer">
    <w:name w:val="footer"/>
    <w:basedOn w:val="Normal"/>
    <w:link w:val="FooterChar"/>
    <w:uiPriority w:val="99"/>
    <w:rsid w:val="000956E6"/>
    <w:pPr>
      <w:tabs>
        <w:tab w:val="center" w:pos="4320"/>
        <w:tab w:val="right" w:pos="8640"/>
      </w:tabs>
    </w:pPr>
  </w:style>
  <w:style w:type="character" w:customStyle="1" w:styleId="FooterChar">
    <w:name w:val="Footer Char"/>
    <w:basedOn w:val="DefaultParagraphFont"/>
    <w:link w:val="Footer"/>
    <w:uiPriority w:val="99"/>
    <w:semiHidden/>
    <w:locked/>
    <w:rsid w:val="00FC62BE"/>
    <w:rPr>
      <w:rFonts w:cs="Times New Roman"/>
      <w:lang w:val="en-GB"/>
    </w:rPr>
  </w:style>
  <w:style w:type="character" w:styleId="PageNumber">
    <w:name w:val="page number"/>
    <w:basedOn w:val="DefaultParagraphFont"/>
    <w:uiPriority w:val="99"/>
    <w:rsid w:val="00C84084"/>
    <w:rPr>
      <w:rFonts w:ascii="Arial" w:hAnsi="Arial" w:cs="Times New Roman"/>
      <w:sz w:val="18"/>
    </w:rPr>
  </w:style>
  <w:style w:type="paragraph" w:styleId="Header">
    <w:name w:val="header"/>
    <w:basedOn w:val="Normal"/>
    <w:link w:val="HeaderChar"/>
    <w:uiPriority w:val="99"/>
    <w:rsid w:val="000956E6"/>
    <w:pPr>
      <w:tabs>
        <w:tab w:val="center" w:pos="4320"/>
        <w:tab w:val="right" w:pos="8640"/>
      </w:tabs>
    </w:pPr>
  </w:style>
  <w:style w:type="character" w:customStyle="1" w:styleId="HeaderChar">
    <w:name w:val="Header Char"/>
    <w:basedOn w:val="DefaultParagraphFont"/>
    <w:link w:val="Header"/>
    <w:uiPriority w:val="99"/>
    <w:semiHidden/>
    <w:locked/>
    <w:rsid w:val="00FC62BE"/>
    <w:rPr>
      <w:rFonts w:cs="Times New Roman"/>
      <w:lang w:val="en-GB"/>
    </w:rPr>
  </w:style>
  <w:style w:type="paragraph" w:styleId="Title">
    <w:name w:val="Title"/>
    <w:basedOn w:val="Normal"/>
    <w:link w:val="TitleChar"/>
    <w:uiPriority w:val="99"/>
    <w:qFormat/>
    <w:rsid w:val="000956E6"/>
    <w:pPr>
      <w:jc w:val="center"/>
    </w:pPr>
    <w:rPr>
      <w:b/>
      <w:bCs/>
      <w:sz w:val="28"/>
      <w:szCs w:val="28"/>
    </w:rPr>
  </w:style>
  <w:style w:type="character" w:customStyle="1" w:styleId="TitleChar">
    <w:name w:val="Title Char"/>
    <w:basedOn w:val="DefaultParagraphFont"/>
    <w:link w:val="Title"/>
    <w:uiPriority w:val="99"/>
    <w:locked/>
    <w:rsid w:val="00FC62BE"/>
    <w:rPr>
      <w:rFonts w:ascii="Cambria" w:hAnsi="Cambria" w:cs="Cambria"/>
      <w:b/>
      <w:bCs/>
      <w:kern w:val="28"/>
      <w:sz w:val="32"/>
      <w:szCs w:val="32"/>
      <w:lang w:val="en-GB"/>
    </w:rPr>
  </w:style>
  <w:style w:type="paragraph" w:styleId="DocumentMap">
    <w:name w:val="Document Map"/>
    <w:basedOn w:val="Normal"/>
    <w:link w:val="DocumentMapChar"/>
    <w:uiPriority w:val="99"/>
    <w:semiHidden/>
    <w:rsid w:val="000956E6"/>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sid w:val="00FC62BE"/>
    <w:rPr>
      <w:rFonts w:cs="Times New Roman"/>
      <w:sz w:val="2"/>
      <w:szCs w:val="2"/>
      <w:lang w:val="en-GB"/>
    </w:rPr>
  </w:style>
  <w:style w:type="paragraph" w:styleId="BalloonText">
    <w:name w:val="Balloon Text"/>
    <w:basedOn w:val="Normal"/>
    <w:link w:val="BalloonTextChar"/>
    <w:uiPriority w:val="99"/>
    <w:semiHidden/>
    <w:rsid w:val="00A1152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C62BE"/>
    <w:rPr>
      <w:rFonts w:cs="Times New Roman"/>
      <w:sz w:val="2"/>
      <w:szCs w:val="2"/>
      <w:lang w:val="en-GB"/>
    </w:rPr>
  </w:style>
  <w:style w:type="table" w:styleId="TableGrid">
    <w:name w:val="Table Grid"/>
    <w:basedOn w:val="TableNormal"/>
    <w:uiPriority w:val="99"/>
    <w:rsid w:val="007F10F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rsid w:val="004D2246"/>
    <w:rPr>
      <w:rFonts w:cs="Times New Roman"/>
      <w:color w:val="800080"/>
      <w:u w:val="single"/>
    </w:rPr>
  </w:style>
  <w:style w:type="character" w:customStyle="1" w:styleId="Instructions">
    <w:name w:val="Instructions"/>
    <w:uiPriority w:val="99"/>
    <w:rsid w:val="00DB585F"/>
    <w:rPr>
      <w:rFonts w:ascii="Times New Roman" w:hAnsi="Times New Roman"/>
      <w:i/>
      <w:color w:val="FF6969"/>
      <w:sz w:val="18"/>
    </w:rPr>
  </w:style>
  <w:style w:type="paragraph" w:customStyle="1" w:styleId="BoxTitle">
    <w:name w:val="BoxTitle"/>
    <w:basedOn w:val="Normal"/>
    <w:link w:val="BoxTitleChar"/>
    <w:uiPriority w:val="99"/>
    <w:rsid w:val="00CE6F4E"/>
    <w:pPr>
      <w:tabs>
        <w:tab w:val="right" w:pos="10132"/>
      </w:tabs>
    </w:pPr>
    <w:rPr>
      <w:rFonts w:ascii="Arial" w:hAnsi="Arial" w:cs="Arial"/>
      <w:b/>
      <w:color w:val="6DABD9"/>
      <w:szCs w:val="18"/>
    </w:rPr>
  </w:style>
  <w:style w:type="character" w:customStyle="1" w:styleId="BoxTitleChar">
    <w:name w:val="BoxTitle Char"/>
    <w:basedOn w:val="DefaultParagraphFont"/>
    <w:link w:val="BoxTitle"/>
    <w:uiPriority w:val="99"/>
    <w:locked/>
    <w:rsid w:val="00CE6F4E"/>
    <w:rPr>
      <w:rFonts w:ascii="Arial" w:hAnsi="Arial" w:cs="Arial"/>
      <w:b/>
      <w:color w:val="6DABD9"/>
      <w:sz w:val="18"/>
      <w:szCs w:val="18"/>
      <w:lang w:val="en-GB" w:eastAsia="en-US" w:bidi="ar-SA"/>
    </w:rPr>
  </w:style>
  <w:style w:type="paragraph" w:customStyle="1" w:styleId="Response">
    <w:name w:val="Response"/>
    <w:basedOn w:val="Normal"/>
    <w:uiPriority w:val="99"/>
    <w:rsid w:val="00CE6F4E"/>
    <w:rPr>
      <w:rFonts w:ascii="Arial" w:hAnsi="Arial"/>
      <w:b/>
      <w:sz w:val="22"/>
      <w:szCs w:val="22"/>
    </w:rPr>
  </w:style>
  <w:style w:type="paragraph" w:customStyle="1" w:styleId="SectionHead">
    <w:name w:val="SectionHead"/>
    <w:basedOn w:val="BoxTitle"/>
    <w:uiPriority w:val="99"/>
    <w:rsid w:val="00D95EE7"/>
    <w:pPr>
      <w:keepNext/>
      <w:keepLines/>
      <w:tabs>
        <w:tab w:val="clear" w:pos="10132"/>
        <w:tab w:val="right" w:pos="10348"/>
      </w:tabs>
      <w:jc w:val="both"/>
    </w:pPr>
    <w:rPr>
      <w:bCs/>
      <w:color w:val="00408B"/>
      <w:sz w:val="22"/>
      <w:szCs w:val="22"/>
    </w:rPr>
  </w:style>
  <w:style w:type="paragraph" w:customStyle="1" w:styleId="TableHead">
    <w:name w:val="TableHead"/>
    <w:basedOn w:val="BoxTitle"/>
    <w:link w:val="TableHeadChar"/>
    <w:uiPriority w:val="99"/>
    <w:rsid w:val="007E4B8F"/>
    <w:rPr>
      <w:color w:val="00408B"/>
    </w:rPr>
  </w:style>
  <w:style w:type="paragraph" w:customStyle="1" w:styleId="Spacer">
    <w:name w:val="Spacer"/>
    <w:basedOn w:val="Normal"/>
    <w:uiPriority w:val="99"/>
    <w:rsid w:val="002635D6"/>
    <w:rPr>
      <w:sz w:val="6"/>
    </w:rPr>
  </w:style>
  <w:style w:type="paragraph" w:customStyle="1" w:styleId="Responsebudget">
    <w:name w:val="Response budget"/>
    <w:basedOn w:val="Response"/>
    <w:uiPriority w:val="99"/>
    <w:rsid w:val="007D4D00"/>
    <w:pPr>
      <w:jc w:val="right"/>
    </w:pPr>
    <w:rPr>
      <w:rFonts w:cs="Arial"/>
      <w:sz w:val="18"/>
      <w:szCs w:val="18"/>
    </w:rPr>
  </w:style>
  <w:style w:type="paragraph" w:customStyle="1" w:styleId="Responsebudgetitem">
    <w:name w:val="Response budget item"/>
    <w:basedOn w:val="Responsebudget"/>
    <w:uiPriority w:val="99"/>
    <w:rsid w:val="00843EAD"/>
    <w:pPr>
      <w:ind w:left="567"/>
      <w:jc w:val="left"/>
    </w:pPr>
  </w:style>
  <w:style w:type="character" w:customStyle="1" w:styleId="TableHeadChar">
    <w:name w:val="TableHead Char"/>
    <w:basedOn w:val="BoxTitleChar"/>
    <w:link w:val="TableHead"/>
    <w:uiPriority w:val="99"/>
    <w:locked/>
    <w:rsid w:val="009543F7"/>
    <w:rPr>
      <w:color w:val="00408B"/>
    </w:rPr>
  </w:style>
  <w:style w:type="paragraph" w:customStyle="1" w:styleId="Responsefree">
    <w:name w:val="Response free"/>
    <w:basedOn w:val="Response"/>
    <w:uiPriority w:val="99"/>
    <w:rsid w:val="00490E0F"/>
    <w:pPr>
      <w:spacing w:before="120" w:after="120"/>
    </w:pPr>
    <w:rPr>
      <w:rFonts w:ascii="Times New Roman" w:hAnsi="Times New Roman"/>
      <w:b w:val="0"/>
    </w:rPr>
  </w:style>
  <w:style w:type="paragraph" w:customStyle="1" w:styleId="Body">
    <w:name w:val="Body"/>
    <w:basedOn w:val="Normal"/>
    <w:uiPriority w:val="99"/>
    <w:rsid w:val="0058543C"/>
    <w:pPr>
      <w:spacing w:after="120"/>
      <w:jc w:val="both"/>
    </w:pPr>
    <w:rPr>
      <w:rFonts w:ascii="Arial" w:hAnsi="Arial" w:cs="Arial"/>
      <w:sz w:val="20"/>
    </w:rPr>
  </w:style>
  <w:style w:type="paragraph" w:styleId="FootnoteText">
    <w:name w:val="footnote text"/>
    <w:basedOn w:val="Normal"/>
    <w:link w:val="FootnoteTextChar"/>
    <w:uiPriority w:val="99"/>
    <w:semiHidden/>
    <w:rsid w:val="00F418D1"/>
    <w:rPr>
      <w:rFonts w:ascii="Arial" w:hAnsi="Arial" w:cs="Arial"/>
      <w:sz w:val="20"/>
      <w:lang w:val="en-US"/>
    </w:rPr>
  </w:style>
  <w:style w:type="character" w:customStyle="1" w:styleId="FootnoteTextChar">
    <w:name w:val="Footnote Text Char"/>
    <w:basedOn w:val="DefaultParagraphFont"/>
    <w:link w:val="FootnoteText"/>
    <w:uiPriority w:val="99"/>
    <w:semiHidden/>
    <w:rsid w:val="00A30494"/>
    <w:rPr>
      <w:sz w:val="20"/>
      <w:szCs w:val="20"/>
      <w:lang w:val="en-GB"/>
    </w:rPr>
  </w:style>
  <w:style w:type="character" w:styleId="FootnoteReference">
    <w:name w:val="footnote reference"/>
    <w:basedOn w:val="DefaultParagraphFont"/>
    <w:uiPriority w:val="99"/>
    <w:semiHidden/>
    <w:rsid w:val="009543F7"/>
    <w:rPr>
      <w:rFonts w:cs="Times New Roman"/>
      <w:vertAlign w:val="superscript"/>
    </w:rPr>
  </w:style>
  <w:style w:type="paragraph" w:customStyle="1" w:styleId="BulletList">
    <w:name w:val="BulletList"/>
    <w:basedOn w:val="Body"/>
    <w:uiPriority w:val="99"/>
    <w:rsid w:val="009543F7"/>
    <w:pPr>
      <w:numPr>
        <w:numId w:val="1"/>
      </w:numPr>
    </w:pPr>
  </w:style>
  <w:style w:type="character" w:styleId="CommentReference">
    <w:name w:val="annotation reference"/>
    <w:basedOn w:val="DefaultParagraphFont"/>
    <w:uiPriority w:val="99"/>
    <w:semiHidden/>
    <w:rsid w:val="00737A29"/>
    <w:rPr>
      <w:rFonts w:cs="Times New Roman"/>
      <w:sz w:val="16"/>
      <w:szCs w:val="16"/>
    </w:rPr>
  </w:style>
  <w:style w:type="paragraph" w:styleId="CommentText">
    <w:name w:val="annotation text"/>
    <w:basedOn w:val="Normal"/>
    <w:link w:val="CommentTextChar"/>
    <w:uiPriority w:val="99"/>
    <w:semiHidden/>
    <w:rsid w:val="00737A29"/>
    <w:rPr>
      <w:sz w:val="20"/>
    </w:rPr>
  </w:style>
  <w:style w:type="character" w:customStyle="1" w:styleId="CommentTextChar">
    <w:name w:val="Comment Text Char"/>
    <w:basedOn w:val="DefaultParagraphFont"/>
    <w:link w:val="CommentText"/>
    <w:uiPriority w:val="99"/>
    <w:semiHidden/>
    <w:rsid w:val="00A30494"/>
    <w:rPr>
      <w:sz w:val="20"/>
      <w:szCs w:val="20"/>
      <w:lang w:val="en-GB"/>
    </w:rPr>
  </w:style>
  <w:style w:type="paragraph" w:styleId="CommentSubject">
    <w:name w:val="annotation subject"/>
    <w:basedOn w:val="CommentText"/>
    <w:next w:val="CommentText"/>
    <w:link w:val="CommentSubjectChar"/>
    <w:uiPriority w:val="99"/>
    <w:semiHidden/>
    <w:rsid w:val="00737A29"/>
    <w:rPr>
      <w:b/>
      <w:bCs/>
    </w:rPr>
  </w:style>
  <w:style w:type="character" w:customStyle="1" w:styleId="CommentSubjectChar">
    <w:name w:val="Comment Subject Char"/>
    <w:basedOn w:val="CommentTextChar"/>
    <w:link w:val="CommentSubject"/>
    <w:uiPriority w:val="99"/>
    <w:semiHidden/>
    <w:rsid w:val="00A30494"/>
    <w:rPr>
      <w:b/>
      <w:bCs/>
    </w:rPr>
  </w:style>
</w:styles>
</file>

<file path=word/webSettings.xml><?xml version="1.0" encoding="utf-8"?>
<w:webSettings xmlns:r="http://schemas.openxmlformats.org/officeDocument/2006/relationships" xmlns:w="http://schemas.openxmlformats.org/wordprocessingml/2006/main">
  <w:divs>
    <w:div w:id="1555387539">
      <w:marLeft w:val="0"/>
      <w:marRight w:val="0"/>
      <w:marTop w:val="0"/>
      <w:marBottom w:val="0"/>
      <w:divBdr>
        <w:top w:val="none" w:sz="0" w:space="0" w:color="auto"/>
        <w:left w:val="none" w:sz="0" w:space="0" w:color="auto"/>
        <w:bottom w:val="none" w:sz="0" w:space="0" w:color="auto"/>
        <w:right w:val="none" w:sz="0" w:space="0" w:color="auto"/>
      </w:divBdr>
      <w:divsChild>
        <w:div w:id="1555387538">
          <w:marLeft w:val="0"/>
          <w:marRight w:val="0"/>
          <w:marTop w:val="86"/>
          <w:marBottom w:val="0"/>
          <w:divBdr>
            <w:top w:val="single" w:sz="6" w:space="4" w:color="666666"/>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ato.int/science"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ato.int/cps/en/natolive/87998.ht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sps.applications@hq.nato.int?subject=ARW%20applicatio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nato.int/cps/en/natolive/88007.ht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5</Pages>
  <Words>1832</Words>
  <Characters>10448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cp:keywords/>
  <dc:description/>
  <cp:lastModifiedBy/>
  <cp:revision>2</cp:revision>
  <dcterms:created xsi:type="dcterms:W3CDTF">2013-05-13T07:22:00Z</dcterms:created>
  <dcterms:modified xsi:type="dcterms:W3CDTF">2013-05-13T07:22:00Z</dcterms:modified>
</cp:coreProperties>
</file>